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jc w:val="center"/>
        <w:rPr>
          <w:spacing w:val="-56"/>
          <w:w w:val="70"/>
        </w:rPr>
      </w:pPr>
      <w:r>
        <w:rPr>
          <w:rFonts w:hint="eastAsia" w:ascii="方正小标宋_GBK" w:hAnsi="方正小标宋_GBK" w:eastAsia="方正小标宋_GBK" w:cs="方正小标宋_GBK"/>
          <w:color w:val="FF0000"/>
          <w:spacing w:val="-56"/>
          <w:w w:val="70"/>
          <w:sz w:val="100"/>
          <w:szCs w:val="100"/>
        </w:rPr>
        <w:t>重庆市</w:t>
      </w:r>
      <w:bookmarkStart w:id="0" w:name="dwmc"/>
      <w:r>
        <w:rPr>
          <w:rFonts w:hint="eastAsia" w:ascii="方正小标宋_GBK" w:hAnsi="方正小标宋_GBK" w:eastAsia="方正小标宋_GBK" w:cs="方正小标宋_GBK"/>
          <w:color w:val="FF0000"/>
          <w:spacing w:val="-56"/>
          <w:w w:val="70"/>
          <w:sz w:val="100"/>
          <w:szCs w:val="100"/>
        </w:rPr>
        <w:t>黔江区市场监督管理局</w:t>
      </w:r>
      <w:bookmarkEnd w:id="0"/>
      <w:r>
        <w:rPr>
          <w:rFonts w:hint="eastAsia" w:ascii="方正小标宋_GBK" w:hAnsi="方正小标宋_GBK" w:eastAsia="方正小标宋_GBK" w:cs="方正小标宋_GBK"/>
          <w:color w:val="FF0000"/>
          <w:spacing w:val="-56"/>
          <w:w w:val="70"/>
          <w:sz w:val="100"/>
          <w:szCs w:val="100"/>
        </w:rPr>
        <w:t>文件</w:t>
      </w:r>
    </w:p>
    <w:p>
      <w:pPr>
        <w:jc w:val="center"/>
      </w:pPr>
    </w:p>
    <w:p>
      <w:pPr>
        <w:jc w:val="center"/>
      </w:pPr>
    </w:p>
    <w:p>
      <w:pPr>
        <w:jc w:val="center"/>
      </w:pPr>
      <w:bookmarkStart w:id="1" w:name="wenhao"/>
      <w:r>
        <w:rPr>
          <w:rFonts w:hint="eastAsia"/>
        </w:rPr>
        <w:t>黔江市监发〔20</w:t>
      </w:r>
      <w:r>
        <w:rPr>
          <w:rFonts w:hint="eastAsia"/>
          <w:lang w:val="en-US" w:eastAsia="zh-CN"/>
        </w:rPr>
        <w:t>22</w:t>
      </w:r>
      <w:r>
        <w:rPr>
          <w:rFonts w:hint="eastAsia"/>
        </w:rPr>
        <w:t>〕</w:t>
      </w:r>
      <w:r>
        <w:rPr>
          <w:rFonts w:hint="eastAsia"/>
          <w:lang w:val="en-US" w:eastAsia="zh-CN"/>
        </w:rPr>
        <w:t>18</w:t>
      </w:r>
      <w:r>
        <w:rPr>
          <w:rFonts w:hint="eastAsia"/>
        </w:rPr>
        <w:t>号</w:t>
      </w:r>
      <w:bookmarkEnd w:id="1"/>
    </w:p>
    <w:p>
      <w:r>
        <w:rPr>
          <w:lang/>
        </w:rPr>
        <mc:AlternateContent>
          <mc:Choice Requires="wps">
            <w:drawing>
              <wp:anchor distT="0" distB="0" distL="114300" distR="114300" simplePos="0" relativeHeight="251659264" behindDoc="0" locked="0" layoutInCell="1" allowOverlap="1">
                <wp:simplePos x="0" y="0"/>
                <wp:positionH relativeFrom="page">
                  <wp:posOffset>996315</wp:posOffset>
                </wp:positionH>
                <wp:positionV relativeFrom="margin">
                  <wp:posOffset>2944495</wp:posOffset>
                </wp:positionV>
                <wp:extent cx="5615940" cy="0"/>
                <wp:effectExtent l="0" t="10795" r="3810" b="17780"/>
                <wp:wrapNone/>
                <wp:docPr id="1" name="直线 316"/>
                <wp:cNvGraphicFramePr/>
                <a:graphic xmlns:a="http://schemas.openxmlformats.org/drawingml/2006/main">
                  <a:graphicData uri="http://schemas.microsoft.com/office/word/2010/wordprocessingShape">
                    <wps:wsp>
                      <wps:cNvSpPr/>
                      <wps:spPr>
                        <a:xfrm>
                          <a:off x="0" y="0"/>
                          <a:ext cx="5615940" cy="0"/>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直线 316" o:spid="_x0000_s1026" o:spt="20" style="position:absolute;left:0pt;margin-left:78.45pt;margin-top:231.85pt;height:0pt;width:442.2pt;mso-position-horizontal-relative:page;mso-position-vertical-relative:margin;z-index:251659264;mso-width-relative:page;mso-height-relative:page;" filled="f" stroked="t" coordsize="21600,21600" o:gfxdata="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Ei8WFdkAAAAMAQAADwAAAAAAAAABACAAAAAiAAAAZHJzL2Rvd25yZXYueG1sUEsBAhQAFAAAAAgA&#10;h07iQP6gRpnrAQAA3gMAAA4AAAAAAAAAAQAgAAAAKAEAAGRycy9lMm9Eb2MueG1sUEsFBgAAAAAG&#10;AAYAWQEAAIUFAAAAAA==&#10;">
                <v:fill on="f" focussize="0,0"/>
                <v:stroke weight="1.75pt" color="#FF0000" joinstyle="round"/>
                <v:imagedata o:title=""/>
                <o:lock v:ext="edit" aspectratio="f"/>
              </v:line>
            </w:pict>
          </mc:Fallback>
        </mc:AlternateContent>
      </w:r>
    </w:p>
    <w:p/>
    <w:p>
      <w:pPr>
        <w:snapToGrid w:val="0"/>
        <w:spacing w:line="720" w:lineRule="atLeast"/>
        <w:jc w:val="center"/>
        <w:textAlignment w:val="baseline"/>
        <w:rPr>
          <w:rFonts w:hint="eastAsia" w:eastAsia="方正小标宋_GBK"/>
          <w:sz w:val="44"/>
          <w:szCs w:val="44"/>
        </w:rPr>
      </w:pPr>
      <w:bookmarkStart w:id="2" w:name="标题"/>
      <w:r>
        <w:rPr>
          <w:rFonts w:hint="eastAsia" w:eastAsia="方正小标宋_GBK"/>
          <w:sz w:val="44"/>
          <w:szCs w:val="44"/>
        </w:rPr>
        <w:t>重庆市黔江区市场监督管理局</w:t>
      </w:r>
    </w:p>
    <w:p>
      <w:pPr>
        <w:snapToGrid w:val="0"/>
        <w:spacing w:line="720" w:lineRule="atLeast"/>
        <w:jc w:val="center"/>
        <w:textAlignment w:val="baseline"/>
        <w:rPr>
          <w:rFonts w:hint="eastAsia" w:eastAsia="方正小标宋_GBK"/>
          <w:sz w:val="44"/>
          <w:szCs w:val="44"/>
        </w:rPr>
      </w:pPr>
      <w:r>
        <w:rPr>
          <w:rFonts w:hint="eastAsia" w:eastAsia="方正小标宋_GBK"/>
          <w:sz w:val="44"/>
          <w:szCs w:val="44"/>
        </w:rPr>
        <w:t>关于开展查处无证无照经营专项整治工作的</w:t>
      </w:r>
    </w:p>
    <w:p>
      <w:pPr>
        <w:snapToGrid w:val="0"/>
        <w:spacing w:line="720" w:lineRule="atLeast"/>
        <w:jc w:val="center"/>
        <w:textAlignment w:val="baseline"/>
        <w:rPr>
          <w:rFonts w:eastAsia="方正小标宋_GBK"/>
          <w:sz w:val="44"/>
          <w:szCs w:val="44"/>
        </w:rPr>
      </w:pPr>
      <w:r>
        <w:rPr>
          <w:rFonts w:hint="eastAsia" w:eastAsia="方正小标宋_GBK"/>
          <w:sz w:val="44"/>
          <w:szCs w:val="44"/>
        </w:rPr>
        <w:t>通</w:t>
      </w:r>
      <w:r>
        <w:rPr>
          <w:rFonts w:hint="eastAsia" w:eastAsia="方正小标宋_GBK"/>
          <w:sz w:val="44"/>
          <w:szCs w:val="44"/>
          <w:lang w:val="en-US" w:eastAsia="zh-CN"/>
        </w:rPr>
        <w:t xml:space="preserve">  </w:t>
      </w:r>
      <w:r>
        <w:rPr>
          <w:rFonts w:hint="eastAsia" w:eastAsia="方正小标宋_GBK"/>
          <w:sz w:val="44"/>
          <w:szCs w:val="44"/>
        </w:rPr>
        <w:t>知</w:t>
      </w:r>
      <w:bookmarkEnd w:id="2"/>
    </w:p>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仿宋_GBK"/>
        </w:rPr>
      </w:pPr>
      <w:bookmarkStart w:id="3" w:name="主送"/>
      <w:r>
        <w:rPr>
          <w:rFonts w:hint="eastAsia" w:ascii="方正仿宋_GBK" w:cs="方正仿宋_GBK"/>
        </w:rPr>
        <w:t>各</w:t>
      </w:r>
      <w:bookmarkEnd w:id="3"/>
      <w:r>
        <w:rPr>
          <w:rFonts w:hint="eastAsia" w:ascii="方正仿宋_GBK" w:cs="方正仿宋_GBK"/>
        </w:rPr>
        <w:t>市场监管所，各</w:t>
      </w:r>
      <w:r>
        <w:rPr>
          <w:rFonts w:hint="eastAsia" w:ascii="方正仿宋_GBK" w:cs="方正仿宋_GBK"/>
          <w:lang w:val="en-US" w:eastAsia="zh-CN"/>
        </w:rPr>
        <w:t>相关</w:t>
      </w:r>
      <w:r>
        <w:rPr>
          <w:rFonts w:hint="eastAsia" w:ascii="方正仿宋_GBK" w:cs="方正仿宋_GBK"/>
        </w:rPr>
        <w:t>科室，</w:t>
      </w:r>
      <w:r>
        <w:rPr>
          <w:rFonts w:hint="eastAsia" w:ascii="方正仿宋_GBK" w:cs="方正仿宋_GBK"/>
          <w:lang w:eastAsia="zh-CN"/>
        </w:rPr>
        <w:t>执法</w:t>
      </w:r>
      <w:r>
        <w:rPr>
          <w:rFonts w:hint="eastAsia" w:ascii="方正仿宋_GBK" w:cs="方正仿宋_GBK"/>
        </w:rPr>
        <w:t>支队：</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为进一步整顿和规范市场经济秩序，着力营造良好的市场环境和消费环境，促进市场公平竞争，服务民营经济发展，根据</w:t>
      </w:r>
      <w:r>
        <w:rPr>
          <w:rFonts w:hint="eastAsia" w:ascii="方正仿宋_GBK" w:hAnsi="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无证无照经营查处办法</w:t>
      </w:r>
      <w:r>
        <w:rPr>
          <w:rFonts w:hint="eastAsia" w:ascii="方正仿宋_GBK" w:hAnsi="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（国务院令第684号）及上级有关文件精神，结合我局实际，现将有关事项通知如下：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w:t>
      </w:r>
      <w:r>
        <w:rPr>
          <w:rFonts w:hint="eastAsia" w:ascii="方正黑体_GBK" w:hAnsi="方正黑体_GBK" w:eastAsia="方正黑体_GBK" w:cs="方正黑体_GBK"/>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坚持以习近平新时代中国特色社会主义思想为指导，认真贯彻落实习近平总书记在民营企业座谈会上的</w:t>
      </w:r>
      <w:r>
        <w:rPr>
          <w:rFonts w:hint="eastAsia" w:ascii="方正仿宋_GBK" w:hAnsi="方正仿宋_GBK" w:cs="方正仿宋_GBK"/>
          <w:sz w:val="32"/>
          <w:szCs w:val="32"/>
          <w:lang w:val="en-US" w:eastAsia="zh-CN"/>
        </w:rPr>
        <w:t>重要</w:t>
      </w:r>
      <w:bookmarkStart w:id="4" w:name="_GoBack"/>
      <w:bookmarkEnd w:id="4"/>
      <w:r>
        <w:rPr>
          <w:rFonts w:hint="eastAsia" w:ascii="方正仿宋_GBK" w:hAnsi="方正仿宋_GBK" w:eastAsia="方正仿宋_GBK" w:cs="方正仿宋_GBK"/>
          <w:sz w:val="32"/>
          <w:szCs w:val="32"/>
          <w:lang w:val="en-US" w:eastAsia="zh-CN"/>
        </w:rPr>
        <w:t>讲话精神，深化商事制度改革，转变市场监管理念，按照“谁审批、谁监管，谁主管、谁监管”的原则，实行查处与疏导、整治与规范、管理与服务相结合的工作方法，全面清理无证无照经营行为，建立公平、有序、规范的市场经营秩序，消除市场风险隐患，为全区经济社会持续健康发展提供有力保障。</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二、工作目标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通过全面清理无证无照经营行为专项整治，促使查处无证无照行为日常化、制度化，有力推进安全稳定风险隐患大排查大整治大执法、校园及周边环境综合整治等重点工作，引导市场主体依法守法合法经营，促进全区经济社会蓬勃发展。</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三、工作内容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（一）时间要求</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2022年4月27日至2022年11月24日，集中时间开展无证无照专项清理整治行动。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（二）整治对象</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b/>
          <w:bCs/>
          <w:sz w:val="32"/>
          <w:szCs w:val="32"/>
          <w:lang w:val="en-US" w:eastAsia="zh-CN"/>
        </w:rPr>
        <w:t>1.</w:t>
      </w:r>
      <w:r>
        <w:rPr>
          <w:rFonts w:hint="eastAsia" w:ascii="方正仿宋_GBK" w:hAnsi="方正仿宋_GBK" w:eastAsia="方正仿宋_GBK" w:cs="方正仿宋_GBK"/>
          <w:sz w:val="32"/>
          <w:szCs w:val="32"/>
          <w:lang w:val="en-US" w:eastAsia="zh-CN"/>
        </w:rPr>
        <w:t>烟花爆竹、民用爆破物品、危险化学品、汽车租赁、废旧物资回收等危及人民群众生命安全的无证无照经营行为；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b/>
          <w:bCs/>
          <w:sz w:val="32"/>
          <w:szCs w:val="32"/>
          <w:lang w:val="en-US" w:eastAsia="zh-CN"/>
        </w:rPr>
        <w:t>2.</w:t>
      </w:r>
      <w:r>
        <w:rPr>
          <w:rFonts w:hint="eastAsia" w:ascii="方正仿宋_GBK" w:hAnsi="方正仿宋_GBK" w:eastAsia="方正仿宋_GBK" w:cs="方正仿宋_GBK"/>
          <w:sz w:val="32"/>
          <w:szCs w:val="32"/>
          <w:lang w:val="en-US" w:eastAsia="zh-CN"/>
        </w:rPr>
        <w:t>互联网服务、文化娱乐、餐饮洗浴、旅店、商场等人群聚集场所无证无照经营行为；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b/>
          <w:bCs/>
          <w:sz w:val="32"/>
          <w:szCs w:val="32"/>
          <w:lang w:val="en-US" w:eastAsia="zh-CN"/>
        </w:rPr>
        <w:t>3.</w:t>
      </w:r>
      <w:r>
        <w:rPr>
          <w:rFonts w:hint="eastAsia" w:ascii="方正仿宋_GBK" w:hAnsi="方正仿宋_GBK" w:eastAsia="方正仿宋_GBK" w:cs="方正仿宋_GBK"/>
          <w:sz w:val="32"/>
          <w:szCs w:val="32"/>
          <w:lang w:val="en-US" w:eastAsia="zh-CN"/>
        </w:rPr>
        <w:t>餐饮、食品、药品、医疗器械、医疗美容等涉及人民生命健康的无证无照经营行为；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b/>
          <w:bCs/>
          <w:sz w:val="32"/>
          <w:szCs w:val="32"/>
          <w:lang w:val="en-US" w:eastAsia="zh-CN"/>
        </w:rPr>
        <w:t>4.</w:t>
      </w:r>
      <w:r>
        <w:rPr>
          <w:rFonts w:hint="eastAsia" w:ascii="方正仿宋_GBK" w:hAnsi="方正仿宋_GBK" w:eastAsia="方正仿宋_GBK" w:cs="方正仿宋_GBK"/>
          <w:sz w:val="32"/>
          <w:szCs w:val="32"/>
          <w:lang w:val="en-US" w:eastAsia="zh-CN"/>
        </w:rPr>
        <w:t>集镇街道、校园周边、旅游景区、集贸（专业）市场等无证无照经营行为；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b/>
          <w:bCs/>
          <w:sz w:val="32"/>
          <w:szCs w:val="32"/>
          <w:lang w:val="en-US" w:eastAsia="zh-CN"/>
        </w:rPr>
        <w:t>5.</w:t>
      </w:r>
      <w:r>
        <w:rPr>
          <w:rFonts w:hint="eastAsia" w:ascii="方正仿宋_GBK" w:hAnsi="方正仿宋_GBK" w:eastAsia="方正仿宋_GBK" w:cs="方正仿宋_GBK"/>
          <w:sz w:val="32"/>
          <w:szCs w:val="32"/>
          <w:lang w:val="en-US" w:eastAsia="zh-CN"/>
        </w:rPr>
        <w:t>校外培训等面向中小学生的无证无照经营行为；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b/>
          <w:bCs/>
          <w:sz w:val="32"/>
          <w:szCs w:val="32"/>
          <w:lang w:val="en-US" w:eastAsia="zh-CN"/>
        </w:rPr>
        <w:t>6.</w:t>
      </w:r>
      <w:r>
        <w:rPr>
          <w:rFonts w:hint="eastAsia" w:ascii="方正仿宋_GBK" w:hAnsi="方正仿宋_GBK" w:eastAsia="方正仿宋_GBK" w:cs="方正仿宋_GBK"/>
          <w:sz w:val="32"/>
          <w:szCs w:val="32"/>
          <w:lang w:val="en-US" w:eastAsia="zh-CN"/>
        </w:rPr>
        <w:t>其他无证无照经营行为。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四、工作要求</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（一）统一思想认识。</w:t>
      </w:r>
      <w:r>
        <w:rPr>
          <w:rFonts w:hint="eastAsia" w:ascii="方正仿宋_GBK" w:hAnsi="方正仿宋_GBK" w:eastAsia="方正仿宋_GBK" w:cs="方正仿宋_GBK"/>
          <w:sz w:val="32"/>
          <w:szCs w:val="32"/>
          <w:lang w:val="en-US" w:eastAsia="zh-CN"/>
        </w:rPr>
        <w:t>各监管所要高度重视此次专项整治工作，要根据辖区实际情况，认真摸底排查，进行分类处置。对轻微违法行为，以教育引导为主，要落实专人指导其办理注册登记；对重点行业、重点区域的无证无照经营行为，要依法查处；对未依法取得行政许可的经营行为，要及时抄告主管部门；涉嫌犯罪的，要依法移送司法机关。</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（二）强化宣传引导。</w:t>
      </w:r>
      <w:r>
        <w:rPr>
          <w:rFonts w:hint="eastAsia" w:ascii="方正仿宋_GBK" w:hAnsi="方正仿宋_GBK" w:eastAsia="方正仿宋_GBK" w:cs="方正仿宋_GBK"/>
          <w:sz w:val="32"/>
          <w:szCs w:val="32"/>
          <w:lang w:val="en-US" w:eastAsia="zh-CN"/>
        </w:rPr>
        <w:t>各监管所要充分发挥民营经济协会、商会、行业协会、居委会(村委会)、群众组织、物业管理单位的作用，加大《无证无照经营查处办法》普法宣传力度，畅通投诉举报渠道，鼓励发动群众举报、媒体曝光无证无照经营行为，调动公众参与监督管理的积极性，形成多方参与、群防群治、公共治理的工作局面。</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方正仿宋_GBK" w:hAnsi="方正仿宋_GBK" w:eastAsia="方正仿宋_GBK" w:cs="方正仿宋_GBK"/>
          <w:sz w:val="32"/>
          <w:szCs w:val="32"/>
          <w:lang w:val="en-US" w:eastAsia="zh-CN"/>
        </w:rPr>
      </w:pPr>
      <w:r>
        <w:rPr>
          <w:rFonts w:hint="eastAsia" w:ascii="方正楷体_GBK" w:hAnsi="方正楷体_GBK" w:eastAsia="方正楷体_GBK" w:cs="方正楷体_GBK"/>
          <w:sz w:val="32"/>
          <w:szCs w:val="32"/>
          <w:lang w:val="en-US" w:eastAsia="zh-CN"/>
        </w:rPr>
        <w:t>（三）加强信息报送。</w:t>
      </w:r>
      <w:r>
        <w:rPr>
          <w:rFonts w:hint="eastAsia" w:ascii="方正仿宋_GBK" w:hAnsi="方正仿宋_GBK" w:eastAsia="方正仿宋_GBK" w:cs="方正仿宋_GBK"/>
          <w:sz w:val="32"/>
          <w:szCs w:val="32"/>
          <w:lang w:val="en-US" w:eastAsia="zh-CN"/>
        </w:rPr>
        <w:t>各监管所在查处无证无照工作中，发现的重大安全风险隐患及其他违法犯罪线索要及时向区局汇报。检查中发现涉及无证经营行为的市场主体名单要实时通过内网上报企业科，企业科及时汇总抄告相关主管部门和辖区政府。11月26日前，各所将此次专项整治工作情况报区局企业科（联系人：向声勇）。</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方正仿宋_GBK"/>
          <w:sz w:val="30"/>
          <w:szCs w:val="30"/>
          <w:lang w:val="en-US" w:eastAsia="zh-CN"/>
        </w:rPr>
      </w:pPr>
      <w:r>
        <w:rPr>
          <w:rFonts w:hint="eastAsia" w:ascii="方正楷体_GBK" w:hAnsi="方正楷体_GBK" w:eastAsia="方正楷体_GBK" w:cs="方正楷体_GBK"/>
          <w:sz w:val="32"/>
          <w:szCs w:val="32"/>
          <w:lang w:val="en-US" w:eastAsia="zh-CN"/>
        </w:rPr>
        <w:t>（四）形成长效机制。</w:t>
      </w:r>
      <w:r>
        <w:rPr>
          <w:rFonts w:hint="eastAsia" w:ascii="方正仿宋_GBK" w:hAnsi="方正仿宋_GBK" w:eastAsia="方正仿宋_GBK" w:cs="方正仿宋_GBK"/>
          <w:sz w:val="32"/>
          <w:szCs w:val="32"/>
          <w:lang w:val="en-US" w:eastAsia="zh-CN"/>
        </w:rPr>
        <w:t>各监管所要认真梳理此次专项整治工作情况，分析问题成因，研究解决对策，总结经验做法，巩固整治成果，形成查处无证无照经营的长效工作机制。</w:t>
      </w:r>
    </w:p>
    <w:p>
      <w:pPr>
        <w:rPr>
          <w:rFonts w:ascii="方正仿宋_GBK"/>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仿宋_GBK"/>
        </w:rPr>
      </w:pPr>
      <w:r>
        <w:rPr>
          <w:rFonts w:ascii="方正仿宋_GBK" w:cs="方正仿宋_GBK"/>
        </w:rPr>
        <w:t xml:space="preserve">                      </w:t>
      </w:r>
      <w:r>
        <w:rPr>
          <w:rFonts w:hint="eastAsia" w:ascii="方正仿宋_GBK" w:cs="方正仿宋_GBK"/>
        </w:rPr>
        <w:t>重庆市黔江区市场监督管理局</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s="方正仿宋_GBK"/>
        </w:rPr>
      </w:pPr>
      <w:r>
        <w:rPr>
          <w:rFonts w:ascii="方正仿宋_GBK" w:cs="方正仿宋_GBK"/>
        </w:rPr>
        <w:t xml:space="preserve">                        </w:t>
      </w:r>
      <w:r>
        <w:t xml:space="preserve">  </w:t>
      </w:r>
      <w:r>
        <w:rPr>
          <w:rFonts w:hint="eastAsia"/>
          <w:lang w:val="en-US" w:eastAsia="zh-CN"/>
        </w:rPr>
        <w:t>2022</w:t>
      </w:r>
      <w:r>
        <w:rPr>
          <w:rFonts w:hint="eastAsia" w:cs="方正仿宋_GBK"/>
        </w:rPr>
        <w:t>年</w:t>
      </w:r>
      <w:r>
        <w:rPr>
          <w:rFonts w:hint="eastAsia"/>
          <w:lang w:val="en-US" w:eastAsia="zh-CN"/>
        </w:rPr>
        <w:t>4</w:t>
      </w:r>
      <w:r>
        <w:rPr>
          <w:rFonts w:hint="eastAsia" w:cs="方正仿宋_GBK"/>
        </w:rPr>
        <w:t>月</w:t>
      </w:r>
      <w:r>
        <w:rPr>
          <w:rFonts w:hint="eastAsia"/>
          <w:lang w:val="en-US" w:eastAsia="zh-CN"/>
        </w:rPr>
        <w:t>27</w:t>
      </w:r>
      <w:r>
        <w:rPr>
          <w:rFonts w:hint="eastAsia" w:cs="方正仿宋_GBK"/>
        </w:rPr>
        <w:t>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方正仿宋_GBK" w:cs="方正仿宋_GBK"/>
          <w:lang w:eastAsia="zh-CN"/>
        </w:rPr>
      </w:pPr>
      <w:r>
        <w:rPr>
          <w:rFonts w:hint="eastAsia" w:cs="方正仿宋_GBK"/>
          <w:lang w:eastAsia="zh-CN"/>
        </w:rPr>
        <w:t>（</w:t>
      </w:r>
      <w:r>
        <w:rPr>
          <w:rFonts w:hint="eastAsia" w:cs="方正仿宋_GBK"/>
          <w:lang w:val="en-US" w:eastAsia="zh-CN"/>
        </w:rPr>
        <w:t>此件公开发布</w:t>
      </w:r>
      <w:r>
        <w:rPr>
          <w:rFonts w:hint="eastAsia" w:cs="方正仿宋_GBK"/>
          <w:lang w:eastAsia="zh-CN"/>
        </w:rPr>
        <w:t>）</w:t>
      </w:r>
    </w:p>
    <w:p>
      <w:pPr>
        <w:rPr>
          <w:rFonts w:hint="eastAsia" w:cs="方正仿宋_GBK"/>
        </w:rPr>
      </w:pPr>
    </w:p>
    <w:p>
      <w:pPr>
        <w:pStyle w:val="2"/>
      </w:pPr>
    </w:p>
    <w:p>
      <w:pPr>
        <w:keepNext w:val="0"/>
        <w:keepLines w:val="0"/>
        <w:pageBreakBefore w:val="0"/>
        <w:widowControl w:val="0"/>
        <w:kinsoku/>
        <w:wordWrap/>
        <w:overflowPunct/>
        <w:topLinePunct w:val="0"/>
        <w:autoSpaceDE/>
        <w:autoSpaceDN/>
        <w:bidi w:val="0"/>
        <w:adjustRightInd w:val="0"/>
        <w:snapToGrid w:val="0"/>
        <w:textAlignment w:val="auto"/>
        <w:outlineLvl w:val="9"/>
        <w:rPr>
          <w:sz w:val="21"/>
          <w:szCs w:val="21"/>
        </w:rPr>
      </w:pPr>
    </w:p>
    <w:p>
      <w:pPr>
        <w:widowControl w:val="0"/>
        <w:pBdr>
          <w:top w:val="none" w:color="auto" w:sz="0" w:space="1"/>
          <w:left w:val="none" w:color="auto" w:sz="0" w:space="4"/>
          <w:bottom w:val="none" w:color="auto" w:sz="0" w:space="1"/>
          <w:right w:val="none" w:color="auto" w:sz="0" w:space="4"/>
          <w:between w:val="none" w:color="auto" w:sz="0" w:space="0"/>
        </w:pBdr>
        <w:jc w:val="both"/>
        <w:rPr>
          <w:rFonts w:ascii="方正仿宋_GBK" w:cs="方正仿宋_GBK"/>
          <w:sz w:val="28"/>
          <w:szCs w:val="28"/>
        </w:rPr>
      </w:pPr>
      <w:r>
        <w:rPr>
          <w:rFonts w:ascii="方正仿宋_GBK" w:cs="方正仿宋_GBK"/>
          <w:sz w:val="28"/>
          <w:szCs w:val="28"/>
        </w:rPr>
        <w:t xml:space="preserve">  </w:t>
      </w:r>
    </w:p>
    <w:p>
      <w:pPr>
        <w:pStyle w:val="2"/>
        <w:rPr>
          <w:rFonts w:ascii="方正仿宋_GBK" w:cs="方正仿宋_GBK"/>
          <w:sz w:val="28"/>
          <w:szCs w:val="28"/>
        </w:rPr>
      </w:pPr>
    </w:p>
    <w:p>
      <w:pPr>
        <w:pStyle w:val="2"/>
        <w:rPr>
          <w:rFonts w:ascii="方正仿宋_GBK" w:cs="方正仿宋_GBK"/>
          <w:sz w:val="28"/>
          <w:szCs w:val="28"/>
        </w:rPr>
      </w:pPr>
    </w:p>
    <w:p>
      <w:pPr>
        <w:pStyle w:val="2"/>
        <w:rPr>
          <w:rFonts w:ascii="方正仿宋_GBK" w:cs="方正仿宋_GBK"/>
          <w:sz w:val="28"/>
          <w:szCs w:val="28"/>
        </w:rPr>
      </w:pPr>
    </w:p>
    <w:p>
      <w:pPr>
        <w:pStyle w:val="2"/>
        <w:keepNext w:val="0"/>
        <w:keepLines w:val="0"/>
        <w:pageBreakBefore w:val="0"/>
        <w:widowControl w:val="0"/>
        <w:kinsoku/>
        <w:wordWrap/>
        <w:overflowPunct/>
        <w:topLinePunct w:val="0"/>
        <w:autoSpaceDE/>
        <w:autoSpaceDN/>
        <w:bidi w:val="0"/>
        <w:adjustRightInd/>
        <w:snapToGrid/>
        <w:spacing w:after="0" w:line="560" w:lineRule="exact"/>
        <w:textAlignment w:val="auto"/>
        <w:rPr>
          <w:rFonts w:ascii="方正仿宋_GBK" w:cs="方正仿宋_GBK"/>
          <w:sz w:val="28"/>
          <w:szCs w:val="28"/>
        </w:rPr>
      </w:pPr>
    </w:p>
    <w:p>
      <w:pPr>
        <w:keepNext w:val="0"/>
        <w:keepLines w:val="0"/>
        <w:pageBreakBefore w:val="0"/>
        <w:widowControl w:val="0"/>
        <w:pBdr>
          <w:top w:val="single" w:color="auto" w:sz="4" w:space="1"/>
          <w:left w:val="none" w:color="auto" w:sz="0" w:space="4"/>
          <w:bottom w:val="single" w:color="auto" w:sz="4" w:space="1"/>
          <w:right w:val="none" w:color="auto" w:sz="0" w:space="4"/>
          <w:between w:val="none" w:color="auto" w:sz="0" w:space="0"/>
        </w:pBdr>
        <w:kinsoku/>
        <w:wordWrap/>
        <w:overflowPunct/>
        <w:topLinePunct w:val="0"/>
        <w:autoSpaceDE/>
        <w:autoSpaceDN/>
        <w:bidi w:val="0"/>
        <w:adjustRightInd/>
        <w:snapToGrid/>
        <w:spacing w:line="560" w:lineRule="exact"/>
        <w:jc w:val="both"/>
        <w:textAlignment w:val="auto"/>
        <w:rPr>
          <w:rFonts w:hint="eastAsia" w:ascii="方正仿宋_GBK" w:cs="方正仿宋_GBK"/>
          <w:spacing w:val="-10"/>
          <w:sz w:val="28"/>
          <w:szCs w:val="28"/>
        </w:rPr>
      </w:pPr>
      <w:r>
        <w:rPr>
          <w:rFonts w:ascii="方正仿宋_GBK" w:cs="方正仿宋_GBK"/>
          <w:sz w:val="28"/>
          <w:szCs w:val="28"/>
        </w:rPr>
        <w:t xml:space="preserve">  </w:t>
      </w:r>
      <w:r>
        <w:rPr>
          <w:rFonts w:hint="eastAsia" w:ascii="方正仿宋_GBK" w:cs="方正仿宋_GBK"/>
          <w:spacing w:val="-10"/>
          <w:sz w:val="28"/>
          <w:szCs w:val="28"/>
        </w:rPr>
        <w:t xml:space="preserve">重庆市黔江区市场监督管理局办公室     </w:t>
      </w:r>
      <w:r>
        <w:rPr>
          <w:rFonts w:hint="eastAsia" w:ascii="方正仿宋_GBK" w:cs="方正仿宋_GBK"/>
          <w:spacing w:val="-10"/>
          <w:sz w:val="28"/>
          <w:szCs w:val="28"/>
          <w:lang w:val="en-US" w:eastAsia="zh-CN"/>
        </w:rPr>
        <w:t xml:space="preserve">           2022</w:t>
      </w:r>
      <w:r>
        <w:rPr>
          <w:rFonts w:hint="eastAsia" w:ascii="方正仿宋_GBK" w:cs="方正仿宋_GBK"/>
          <w:spacing w:val="-10"/>
          <w:sz w:val="28"/>
          <w:szCs w:val="28"/>
        </w:rPr>
        <w:t>年</w:t>
      </w:r>
      <w:r>
        <w:rPr>
          <w:rFonts w:hint="eastAsia" w:ascii="方正仿宋_GBK" w:cs="方正仿宋_GBK"/>
          <w:spacing w:val="-10"/>
          <w:sz w:val="28"/>
          <w:szCs w:val="28"/>
          <w:lang w:val="en-US" w:eastAsia="zh-CN"/>
        </w:rPr>
        <w:t>4</w:t>
      </w:r>
      <w:r>
        <w:rPr>
          <w:rFonts w:hint="eastAsia" w:ascii="方正仿宋_GBK" w:cs="方正仿宋_GBK"/>
          <w:spacing w:val="-10"/>
          <w:sz w:val="28"/>
          <w:szCs w:val="28"/>
        </w:rPr>
        <w:t>月</w:t>
      </w:r>
      <w:r>
        <w:rPr>
          <w:rFonts w:hint="eastAsia" w:ascii="方正仿宋_GBK" w:cs="方正仿宋_GBK"/>
          <w:spacing w:val="-10"/>
          <w:sz w:val="28"/>
          <w:szCs w:val="28"/>
          <w:lang w:val="en-US" w:eastAsia="zh-CN"/>
        </w:rPr>
        <w:t>27</w:t>
      </w:r>
      <w:r>
        <w:rPr>
          <w:rFonts w:hint="eastAsia" w:ascii="方正仿宋_GBK" w:cs="方正仿宋_GBK"/>
          <w:spacing w:val="-10"/>
          <w:sz w:val="28"/>
          <w:szCs w:val="28"/>
        </w:rPr>
        <w:t>日印发</w:t>
      </w:r>
    </w:p>
    <w:sectPr>
      <w:headerReference r:id="rId4" w:type="first"/>
      <w:footerReference r:id="rId7" w:type="first"/>
      <w:footerReference r:id="rId5" w:type="default"/>
      <w:headerReference r:id="rId3" w:type="even"/>
      <w:footerReference r:id="rId6" w:type="even"/>
      <w:pgSz w:w="11906" w:h="16838"/>
      <w:pgMar w:top="2098" w:right="1474" w:bottom="1985" w:left="1588" w:header="851" w:footer="992" w:gutter="0"/>
      <w:pgBorders>
        <w:top w:val="none" w:sz="0" w:space="0"/>
        <w:left w:val="none" w:sz="0" w:space="0"/>
        <w:bottom w:val="none" w:sz="0" w:space="0"/>
        <w:right w:val="none" w:sz="0" w:space="0"/>
      </w:pgBorders>
      <w:pgNumType w:fmt="decimal"/>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rPr>
        <w:rFonts w:cs="Times New Roma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-204470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outlineLvl w:val="9"/>
                            <w:rPr>
                              <w:rStyle w:val="8"/>
                              <w:rFonts w:ascii="宋体" w:cs="Times New Roman"/>
                              <w:sz w:val="28"/>
                              <w:szCs w:val="28"/>
                            </w:rPr>
                          </w:pPr>
                          <w:r>
                            <w:rPr>
                              <w:rStyle w:val="8"/>
                              <w:rFonts w:ascii="宋体" w:hAnsi="宋体" w:cs="宋体"/>
                              <w:sz w:val="28"/>
                              <w:szCs w:val="28"/>
                            </w:rPr>
                            <w:t xml:space="preserve">— </w:t>
                          </w:r>
                          <w:r>
                            <w:rPr>
                              <w:rFonts w:ascii="宋体" w:hAnsi="宋体" w:cs="宋体"/>
                              <w:sz w:val="28"/>
                              <w:szCs w:val="28"/>
                            </w:rPr>
                            <w:fldChar w:fldCharType="begin"/>
                          </w:r>
                          <w:r>
                            <w:rPr>
                              <w:rStyle w:val="8"/>
                              <w:rFonts w:ascii="宋体" w:hAnsi="宋体" w:cs="宋体"/>
                              <w:sz w:val="28"/>
                              <w:szCs w:val="28"/>
                            </w:rPr>
                            <w:instrText xml:space="preserve">PAGE  </w:instrText>
                          </w:r>
                          <w:r>
                            <w:rPr>
                              <w:rFonts w:ascii="宋体" w:hAnsi="宋体" w:cs="宋体"/>
                              <w:sz w:val="28"/>
                              <w:szCs w:val="28"/>
                            </w:rPr>
                            <w:fldChar w:fldCharType="separate"/>
                          </w:r>
                          <w:r>
                            <w:rPr>
                              <w:rStyle w:val="8"/>
                              <w:rFonts w:ascii="宋体" w:hAnsi="宋体" w:cs="宋体"/>
                              <w:sz w:val="28"/>
                              <w:szCs w:val="28"/>
                            </w:rPr>
                            <w:t>1</w:t>
                          </w:r>
                          <w:r>
                            <w:rPr>
                              <w:rFonts w:ascii="宋体" w:hAnsi="宋体" w:cs="宋体"/>
                              <w:sz w:val="28"/>
                              <w:szCs w:val="28"/>
                            </w:rPr>
                            <w:fldChar w:fldCharType="end"/>
                          </w:r>
                          <w:r>
                            <w:rPr>
                              <w:rStyle w:val="8"/>
                              <w:rFonts w:ascii="宋体" w:hAnsi="宋体" w:cs="宋体"/>
                              <w:sz w:val="28"/>
                              <w:szCs w:val="28"/>
                            </w:rPr>
                            <w:t xml:space="preserve"> —</w:t>
                          </w:r>
                        </w:p>
                      </w:txbxContent>
                    </wps:txbx>
                    <wps:bodyPr vert="horz" wrap="none" lIns="0" tIns="0" rIns="0" bIns="0" anchor="t" anchorCtr="0" upright="0">
                      <a:spAutoFit/>
                    </wps:bodyPr>
                  </wps:wsp>
                </a:graphicData>
              </a:graphic>
            </wp:anchor>
          </w:drawing>
        </mc:Choice>
        <mc:Fallback>
          <w:pict>
            <v:shape id="文本框 1" o:spid="_x0000_s1026" o:spt="202" type="#_x0000_t202" style="position:absolute;left:0pt;margin-top:-16.1pt;height:144pt;width:144pt;mso-position-horizontal:outside;mso-position-horizontal-relative:margin;mso-wrap-style:none;z-index:251659264;mso-width-relative:page;mso-height-relative:page;" filled="f" stroked="f" coordsize="21600,21600" o:gfxdata="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k4sX9UAAAAIAQAADwAAAAAA&#10;AAABACAAAAAiAAAAZHJzL2Rvd25yZXYueG1sUEsBAhQAFAAAAAgAh07iQJom5dHdAQAAvgMAAA4A&#10;AAAAAAAAAQAgAAAAJAEAAGRycy9lMm9Eb2MueG1sUEsFBgAAAAAGAAYAWQEAAHMFAAAAAA==&#10;">
              <v:fill on="f" focussize="0,0"/>
              <v:stroke on="f"/>
              <v:imagedata o:title=""/>
              <o:lock v:ext="edit" aspectratio="f"/>
              <v:textbox inset="0mm,0mm,0mm,0mm" style="mso-fit-shape-to-text:t;">
                <w:txbxContent>
                  <w:p>
                    <w:pPr>
                      <w:pStyle w:val="3"/>
                      <w:keepNext w:val="0"/>
                      <w:keepLines w:val="0"/>
                      <w:pageBreakBefore w:val="0"/>
                      <w:widowControl w:val="0"/>
                      <w:kinsoku/>
                      <w:wordWrap/>
                      <w:overflowPunct/>
                      <w:topLinePunct w:val="0"/>
                      <w:autoSpaceDE/>
                      <w:autoSpaceDN/>
                      <w:bidi w:val="0"/>
                      <w:adjustRightInd/>
                      <w:snapToGrid w:val="0"/>
                      <w:ind w:left="320" w:leftChars="100" w:right="320" w:rightChars="100"/>
                      <w:textAlignment w:val="auto"/>
                      <w:outlineLvl w:val="9"/>
                      <w:rPr>
                        <w:rStyle w:val="8"/>
                        <w:rFonts w:ascii="宋体" w:cs="Times New Roman"/>
                        <w:sz w:val="28"/>
                        <w:szCs w:val="28"/>
                      </w:rPr>
                    </w:pPr>
                    <w:r>
                      <w:rPr>
                        <w:rStyle w:val="8"/>
                        <w:rFonts w:ascii="宋体" w:hAnsi="宋体" w:cs="宋体"/>
                        <w:sz w:val="28"/>
                        <w:szCs w:val="28"/>
                      </w:rPr>
                      <w:t xml:space="preserve">— </w:t>
                    </w:r>
                    <w:r>
                      <w:rPr>
                        <w:rFonts w:ascii="宋体" w:hAnsi="宋体" w:cs="宋体"/>
                        <w:sz w:val="28"/>
                        <w:szCs w:val="28"/>
                      </w:rPr>
                      <w:fldChar w:fldCharType="begin"/>
                    </w:r>
                    <w:r>
                      <w:rPr>
                        <w:rStyle w:val="8"/>
                        <w:rFonts w:ascii="宋体" w:hAnsi="宋体" w:cs="宋体"/>
                        <w:sz w:val="28"/>
                        <w:szCs w:val="28"/>
                      </w:rPr>
                      <w:instrText xml:space="preserve">PAGE  </w:instrText>
                    </w:r>
                    <w:r>
                      <w:rPr>
                        <w:rFonts w:ascii="宋体" w:hAnsi="宋体" w:cs="宋体"/>
                        <w:sz w:val="28"/>
                        <w:szCs w:val="28"/>
                      </w:rPr>
                      <w:fldChar w:fldCharType="separate"/>
                    </w:r>
                    <w:r>
                      <w:rPr>
                        <w:rStyle w:val="8"/>
                        <w:rFonts w:ascii="宋体" w:hAnsi="宋体" w:cs="宋体"/>
                        <w:sz w:val="28"/>
                        <w:szCs w:val="28"/>
                      </w:rPr>
                      <w:t>1</w:t>
                    </w:r>
                    <w:r>
                      <w:rPr>
                        <w:rFonts w:ascii="宋体" w:hAnsi="宋体" w:cs="宋体"/>
                        <w:sz w:val="28"/>
                        <w:szCs w:val="28"/>
                      </w:rPr>
                      <w:fldChar w:fldCharType="end"/>
                    </w:r>
                    <w:r>
                      <w:rPr>
                        <w:rStyle w:val="8"/>
                        <w:rFonts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58"/>
  <w:drawingGridVerticalSpacing w:val="579"/>
  <w:displayHorizontalDrawingGridEvery w:val="0"/>
  <w:displayVerticalDrawingGridEvery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zYjBkMGM5ZWQ4MTAzZTU2YTI1NmQzYTQxYTA1YTkifQ=="/>
  </w:docVars>
  <w:rsids>
    <w:rsidRoot w:val="009150AE"/>
    <w:rsid w:val="002D42D2"/>
    <w:rsid w:val="008A6EBF"/>
    <w:rsid w:val="009150AE"/>
    <w:rsid w:val="00DE7DC4"/>
    <w:rsid w:val="17DD454F"/>
    <w:rsid w:val="21E57F7E"/>
    <w:rsid w:val="22EA7B20"/>
    <w:rsid w:val="23D843AE"/>
    <w:rsid w:val="26F446F1"/>
    <w:rsid w:val="288D2648"/>
    <w:rsid w:val="2E9279E9"/>
    <w:rsid w:val="323C0727"/>
    <w:rsid w:val="35173E5B"/>
    <w:rsid w:val="3A4F0563"/>
    <w:rsid w:val="41D27C3E"/>
    <w:rsid w:val="41E07BD8"/>
    <w:rsid w:val="47D2786F"/>
    <w:rsid w:val="561615A2"/>
    <w:rsid w:val="566D227D"/>
    <w:rsid w:val="59390B92"/>
    <w:rsid w:val="59B24DC3"/>
    <w:rsid w:val="5C564AB7"/>
    <w:rsid w:val="5CFD4E59"/>
    <w:rsid w:val="5D054BAE"/>
    <w:rsid w:val="6FD809F9"/>
    <w:rsid w:val="78073F1B"/>
    <w:rsid w:val="7A2B5FA6"/>
    <w:rsid w:val="7B6A04A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eastAsia="方正仿宋_GBK"/>
      <w:kern w:val="2"/>
      <w:sz w:val="32"/>
      <w:szCs w:val="24"/>
      <w:lang w:val="en-US" w:eastAsia="zh-CN" w:bidi="ar-SA"/>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Body Text 2"/>
    <w:basedOn w:val="1"/>
    <w:qFormat/>
    <w:uiPriority w:val="0"/>
    <w:pPr>
      <w:spacing w:after="120" w:line="480" w:lineRule="auto"/>
    </w:pPr>
    <w:rPr>
      <w:kern w:val="0"/>
      <w:szCs w:val="32"/>
    </w:rPr>
  </w:style>
  <w:style w:type="paragraph" w:styleId="3">
    <w:name w:val="footer"/>
    <w:basedOn w:val="1"/>
    <w:link w:val="9"/>
    <w:uiPriority w:val="0"/>
    <w:pPr>
      <w:tabs>
        <w:tab w:val="center" w:pos="4153"/>
        <w:tab w:val="right" w:pos="8306"/>
      </w:tabs>
      <w:snapToGrid w:val="0"/>
      <w:jc w:val="left"/>
    </w:pPr>
    <w:rPr>
      <w:rFonts w:ascii="Calibri" w:hAnsi="Calibri" w:cs="Calibri"/>
      <w:sz w:val="18"/>
      <w:szCs w:val="18"/>
    </w:rPr>
  </w:style>
  <w:style w:type="paragraph" w:styleId="4">
    <w:name w:val="header"/>
    <w:basedOn w:val="1"/>
    <w:link w:val="10"/>
    <w:semiHidden/>
    <w:uiPriority w:val="0"/>
    <w:pPr>
      <w:pBdr>
        <w:bottom w:val="single" w:color="auto" w:sz="6" w:space="1"/>
      </w:pBdr>
      <w:tabs>
        <w:tab w:val="center" w:pos="4153"/>
        <w:tab w:val="right" w:pos="8306"/>
      </w:tabs>
      <w:snapToGrid w:val="0"/>
      <w:jc w:val="center"/>
    </w:pPr>
    <w:rPr>
      <w:rFonts w:ascii="Calibri" w:hAnsi="Calibri" w:cs="Calibri"/>
      <w:sz w:val="18"/>
      <w:szCs w:val="18"/>
    </w:rPr>
  </w:style>
  <w:style w:type="paragraph" w:styleId="5">
    <w:name w:val="Normal (Web)"/>
    <w:basedOn w:val="1"/>
    <w:uiPriority w:val="0"/>
    <w:pPr>
      <w:widowControl/>
      <w:spacing w:before="100" w:beforeAutospacing="1" w:after="100" w:afterAutospacing="1"/>
      <w:jc w:val="left"/>
    </w:pPr>
    <w:rPr>
      <w:rFonts w:ascii="宋体" w:hAnsi="宋体" w:eastAsia="宋体" w:cs="宋体"/>
      <w:color w:val="000000"/>
      <w:kern w:val="0"/>
      <w:sz w:val="24"/>
      <w:szCs w:val="24"/>
    </w:rPr>
  </w:style>
  <w:style w:type="character" w:styleId="8">
    <w:name w:val="page number"/>
    <w:basedOn w:val="7"/>
    <w:uiPriority w:val="0"/>
  </w:style>
  <w:style w:type="character" w:customStyle="1" w:styleId="9">
    <w:name w:val=" Char Char"/>
    <w:basedOn w:val="7"/>
    <w:link w:val="3"/>
    <w:locked/>
    <w:uiPriority w:val="0"/>
    <w:rPr>
      <w:rFonts w:ascii="Calibri" w:hAnsi="Calibri" w:eastAsia="宋体" w:cs="Calibri"/>
      <w:kern w:val="2"/>
      <w:sz w:val="18"/>
      <w:szCs w:val="18"/>
      <w:lang w:val="en-US" w:eastAsia="zh-CN" w:bidi="ar-SA"/>
    </w:rPr>
  </w:style>
  <w:style w:type="character" w:customStyle="1" w:styleId="10">
    <w:name w:val=" Char Char1"/>
    <w:basedOn w:val="7"/>
    <w:link w:val="4"/>
    <w:semiHidden/>
    <w:locked/>
    <w:uiPriority w:val="0"/>
    <w:rPr>
      <w:rFonts w:ascii="Calibri" w:hAnsi="Calibri" w:eastAsia="宋体" w:cs="Calibri"/>
      <w:kern w:val="2"/>
      <w:sz w:val="18"/>
      <w:szCs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China</Company>
  <Pages>2</Pages>
  <Words>139</Words>
  <Characters>172</Characters>
  <Lines>1</Lines>
  <Paragraphs>1</Paragraphs>
  <TotalTime>1</TotalTime>
  <ScaleCrop>false</ScaleCrop>
  <LinksUpToDate>false</LinksUpToDate>
  <CharactersWithSpaces>246</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2019-01-15T09:14:00Z</dcterms:created>
  <dc:creator>李晖</dc:creator>
  <cp:lastModifiedBy> </cp:lastModifiedBy>
  <dcterms:modified xsi:type="dcterms:W3CDTF">2025-03-24T06:53:58Z</dcterms:modified>
  <dc:title>重庆市黔江区市场监督管理局文件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2A05E3D6E5E3408491647A67D14EEF64</vt:lpwstr>
  </property>
</Properties>
</file>