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ind w:firstLine="720" w:firstLineChars="225"/>
        <w:jc w:val="right"/>
        <w:rPr>
          <w:rFonts w:eastAsia="仿宋_GB2312"/>
          <w:sz w:val="32"/>
          <w:szCs w:val="32"/>
        </w:rPr>
      </w:pPr>
      <w:r>
        <w:rPr>
          <w:rFonts w:eastAsia="仿宋_GB2312"/>
          <w:sz w:val="32"/>
          <w:szCs w:val="32"/>
        </w:rPr>
        <w:pict>
          <v:shape id="艺术字 550" o:spid="_x0000_s1028" o:spt="136" type="#_x0000_t136" style="position:absolute;left:0pt;margin-left:92.15pt;margin-top:117.6pt;height:53.85pt;width:411pt;mso-position-horizontal-relative:page;mso-position-vertical-relative:margin;z-index:251660288;mso-width-relative:page;mso-height-relative:page;" fillcolor="#FF0000" filled="t" stroked="f" coordsize="21600,21600">
            <v:path/>
            <v:fill on="t" focussize="0,0"/>
            <v:stroke on="f" color="#FF0000"/>
            <v:imagedata o:title=""/>
            <o:lock v:ext="edit"/>
            <v:textpath on="t" fitshape="t" fitpath="t" trim="t" xscale="f" string="重庆市黔江区人民政府文件" style="font-family:方正小标宋_GBK;font-size:36pt;font-weight:bold;v-rotate-letters:f;v-same-letter-heights:f;v-text-align:center;"/>
          </v:shape>
        </w:pict>
      </w:r>
    </w:p>
    <w:p>
      <w:pPr>
        <w:spacing w:line="740" w:lineRule="exact"/>
        <w:ind w:firstLine="720" w:firstLineChars="225"/>
        <w:jc w:val="right"/>
        <w:rPr>
          <w:rFonts w:eastAsia="仿宋_GB2312"/>
          <w:sz w:val="32"/>
          <w:szCs w:val="32"/>
        </w:rPr>
      </w:pPr>
    </w:p>
    <w:p>
      <w:pPr>
        <w:spacing w:line="640" w:lineRule="exact"/>
        <w:ind w:firstLine="720" w:firstLineChars="225"/>
        <w:jc w:val="right"/>
        <w:rPr>
          <w:rFonts w:eastAsia="仿宋_GB2312"/>
          <w:sz w:val="32"/>
          <w:szCs w:val="32"/>
        </w:rPr>
      </w:pPr>
    </w:p>
    <w:p>
      <w:pPr>
        <w:spacing w:line="640" w:lineRule="exact"/>
        <w:ind w:firstLine="720" w:firstLineChars="225"/>
        <w:jc w:val="right"/>
        <w:rPr>
          <w:rFonts w:eastAsia="仿宋_GB2312"/>
          <w:sz w:val="32"/>
          <w:szCs w:val="32"/>
        </w:rPr>
      </w:pPr>
    </w:p>
    <w:p>
      <w:pPr>
        <w:spacing w:line="640" w:lineRule="exact"/>
        <w:ind w:firstLine="720" w:firstLineChars="225"/>
        <w:jc w:val="right"/>
        <w:rPr>
          <w:rFonts w:eastAsia="仿宋_GB2312"/>
          <w:sz w:val="32"/>
          <w:szCs w:val="32"/>
        </w:rPr>
      </w:pPr>
    </w:p>
    <w:p>
      <w:pPr>
        <w:spacing w:line="579" w:lineRule="exact"/>
        <w:rPr>
          <w:rFonts w:hint="eastAsia"/>
        </w:rPr>
      </w:pPr>
    </w:p>
    <w:p>
      <w:pPr>
        <w:spacing w:line="579" w:lineRule="exact"/>
        <w:rPr>
          <w:rFonts w:hint="eastAsia" w:eastAsia="方正仿宋_GBK"/>
          <w:sz w:val="32"/>
          <w:szCs w:val="32"/>
        </w:rPr>
      </w:pPr>
    </w:p>
    <w:p>
      <w:pPr>
        <w:spacing w:line="579" w:lineRule="exact"/>
        <w:jc w:val="center"/>
        <w:rPr>
          <w:rFonts w:eastAsia="方正仿宋_GBK"/>
          <w:sz w:val="32"/>
          <w:szCs w:val="32"/>
        </w:rPr>
      </w:pPr>
      <w:r>
        <w:rPr>
          <w:rFonts w:hint="eastAsia" w:ascii="方正仿宋_GBK" w:eastAsia="方正仿宋_GBK"/>
          <w:sz w:val="32"/>
          <w:szCs w:val="32"/>
        </w:rPr>
        <w:t>黔江府</w:t>
      </w:r>
      <w:r>
        <w:rPr>
          <w:rFonts w:eastAsia="方正仿宋_GBK"/>
          <w:sz w:val="32"/>
          <w:szCs w:val="32"/>
        </w:rPr>
        <w:t>发〔2021〕</w:t>
      </w:r>
      <w:r>
        <w:rPr>
          <w:rFonts w:hint="eastAsia" w:eastAsia="方正仿宋_GBK"/>
          <w:sz w:val="32"/>
          <w:szCs w:val="32"/>
        </w:rPr>
        <w:t>61</w:t>
      </w:r>
      <w:r>
        <w:rPr>
          <w:rFonts w:eastAsia="方正仿宋_GBK"/>
          <w:sz w:val="32"/>
          <w:szCs w:val="32"/>
        </w:rPr>
        <w:t>号</w:t>
      </w:r>
    </w:p>
    <w:p>
      <w:pPr>
        <w:spacing w:after="120"/>
        <w:ind w:left="420" w:leftChars="200" w:firstLine="420" w:firstLineChars="200"/>
        <w:rPr>
          <w:rFonts w:eastAsia="方正仿宋_GBK"/>
          <w:bCs/>
          <w:szCs w:val="20"/>
        </w:rPr>
      </w:pPr>
      <w:r>
        <w:rPr>
          <w:rFonts w:eastAsia="方正仿宋_GBK"/>
          <w:bCs/>
          <w:szCs w:val="20"/>
        </w:rPr>
        <mc:AlternateContent>
          <mc:Choice Requires="wps">
            <w:drawing>
              <wp:anchor distT="0" distB="0" distL="114300" distR="114300" simplePos="0" relativeHeight="251661312" behindDoc="0" locked="0" layoutInCell="1" allowOverlap="1">
                <wp:simplePos x="0" y="0"/>
                <wp:positionH relativeFrom="page">
                  <wp:posOffset>972185</wp:posOffset>
                </wp:positionH>
                <wp:positionV relativeFrom="margin">
                  <wp:posOffset>3275330</wp:posOffset>
                </wp:positionV>
                <wp:extent cx="5615940" cy="0"/>
                <wp:effectExtent l="0" t="10795" r="3810" b="17780"/>
                <wp:wrapNone/>
                <wp:docPr id="3" name="直线 551"/>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true"/>
                    </wps:wsp>
                  </a:graphicData>
                </a:graphic>
              </wp:anchor>
            </w:drawing>
          </mc:Choice>
          <mc:Fallback>
            <w:pict>
              <v:line id="直线 551" o:spid="_x0000_s1026" o:spt="20" style="position:absolute;left:0pt;margin-left:76.55pt;margin-top:257.9pt;height:0pt;width:442.2pt;mso-position-horizontal-relative:page;mso-position-vertical-relative:margin;z-index:251661312;mso-width-relative:page;mso-height-relative:page;" filled="f" stroked="t" coordsize="21600,21600" o:gfxdata="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g+KS&#10;dNgAAAAMAQAADwAAAAAAAAABACAAAAA4AAAAZHJzL2Rvd25yZXYueG1sUEsBAhQAFAAAAAgAh07i&#10;QL2PPLfTAQAAkwMAAA4AAAAAAAAAAQAgAAAAPQEAAGRycy9lMm9Eb2MueG1sUEsFBgAAAAAGAAYA&#10;WQEAAIIFAAAAAA==&#10;">
                <v:fill on="f" focussize="0,0"/>
                <v:stroke weight="1.75pt" color="#FF0000" joinstyle="round"/>
                <v:imagedata o:title=""/>
                <o:lock v:ext="edit" aspectratio="f"/>
              </v:line>
            </w:pict>
          </mc:Fallback>
        </mc:AlternateContent>
      </w:r>
    </w:p>
    <w:p>
      <w:pPr>
        <w:spacing w:after="120"/>
        <w:ind w:left="420" w:leftChars="200" w:firstLine="420" w:firstLineChars="200"/>
        <w:rPr>
          <w:rFonts w:eastAsia="方正仿宋_GBK"/>
          <w:bCs/>
          <w:szCs w:val="20"/>
        </w:rPr>
      </w:pPr>
    </w:p>
    <w:p>
      <w:pPr>
        <w:spacing w:line="579" w:lineRule="exact"/>
        <w:jc w:val="center"/>
        <w:rPr>
          <w:rFonts w:eastAsia="方正小标宋_GBK"/>
          <w:sz w:val="44"/>
          <w:szCs w:val="44"/>
        </w:rPr>
      </w:pPr>
      <w:r>
        <w:rPr>
          <w:rFonts w:eastAsia="方正小标宋_GBK"/>
          <w:sz w:val="44"/>
          <w:szCs w:val="44"/>
        </w:rPr>
        <w:t>重庆市黔江区人民政府</w:t>
      </w:r>
    </w:p>
    <w:p>
      <w:pPr>
        <w:spacing w:line="500" w:lineRule="exact"/>
        <w:jc w:val="center"/>
        <w:rPr>
          <w:rFonts w:eastAsia="方正小标宋_GBK"/>
          <w:sz w:val="44"/>
          <w:szCs w:val="44"/>
        </w:rPr>
      </w:pPr>
      <w:r>
        <w:rPr>
          <w:rFonts w:eastAsia="方正小标宋_GBK"/>
          <w:sz w:val="44"/>
          <w:szCs w:val="44"/>
        </w:rPr>
        <w:t>关于印发黔江区</w:t>
      </w:r>
      <w:r>
        <w:rPr>
          <w:rFonts w:hint="eastAsia" w:eastAsia="方正小标宋_GBK"/>
          <w:sz w:val="44"/>
          <w:szCs w:val="44"/>
        </w:rPr>
        <w:t>商贸物流发展</w:t>
      </w:r>
      <w:r>
        <w:rPr>
          <w:rFonts w:eastAsia="方正小标宋_GBK"/>
          <w:sz w:val="44"/>
          <w:szCs w:val="44"/>
        </w:rPr>
        <w:t>“十四五”规划的通知</w:t>
      </w:r>
    </w:p>
    <w:p>
      <w:pPr>
        <w:spacing w:line="500" w:lineRule="exact"/>
        <w:jc w:val="center"/>
        <w:rPr>
          <w:rFonts w:eastAsia="方正小标宋_GBK"/>
          <w:sz w:val="44"/>
          <w:szCs w:val="44"/>
        </w:rPr>
      </w:pPr>
    </w:p>
    <w:p>
      <w:pPr>
        <w:spacing w:line="500" w:lineRule="exact"/>
        <w:rPr>
          <w:rFonts w:eastAsia="方正仿宋_GBK"/>
          <w:sz w:val="32"/>
          <w:szCs w:val="32"/>
        </w:rPr>
      </w:pPr>
      <w:r>
        <w:rPr>
          <w:rFonts w:eastAsia="方正仿宋_GBK"/>
          <w:sz w:val="32"/>
          <w:szCs w:val="32"/>
        </w:rPr>
        <w:t>各乡、镇人民政府，各街道办事处，区政府各部门，有关单位：</w:t>
      </w:r>
    </w:p>
    <w:p>
      <w:pPr>
        <w:spacing w:line="560" w:lineRule="exact"/>
        <w:ind w:firstLine="640" w:firstLineChars="200"/>
        <w:rPr>
          <w:rFonts w:eastAsia="方正仿宋_GBK"/>
          <w:sz w:val="32"/>
          <w:szCs w:val="32"/>
        </w:rPr>
      </w:pPr>
      <w:r>
        <w:rPr>
          <w:rFonts w:eastAsia="方正仿宋_GBK"/>
          <w:sz w:val="32"/>
          <w:szCs w:val="32"/>
        </w:rPr>
        <w:t>《黔江区</w:t>
      </w:r>
      <w:r>
        <w:rPr>
          <w:rFonts w:hint="eastAsia" w:eastAsia="方正仿宋_GBK"/>
          <w:sz w:val="32"/>
          <w:szCs w:val="32"/>
        </w:rPr>
        <w:t>商贸物流发展</w:t>
      </w:r>
      <w:r>
        <w:rPr>
          <w:rFonts w:eastAsia="方正仿宋_GBK"/>
          <w:sz w:val="32"/>
          <w:szCs w:val="32"/>
        </w:rPr>
        <w:t>“十四五”规划》已经</w:t>
      </w:r>
      <w:r>
        <w:rPr>
          <w:rFonts w:hint="eastAsia" w:eastAsia="方正仿宋_GBK"/>
          <w:sz w:val="32"/>
          <w:szCs w:val="32"/>
        </w:rPr>
        <w:t>四届区政府第145次常务会议和四届区委第223次常委会会议审议通过</w:t>
      </w:r>
      <w:r>
        <w:rPr>
          <w:rFonts w:eastAsia="方正仿宋_GBK"/>
          <w:sz w:val="32"/>
          <w:szCs w:val="32"/>
        </w:rPr>
        <w:t>，现印发给你们，请认真贯彻执行。</w:t>
      </w:r>
    </w:p>
    <w:p>
      <w:pPr>
        <w:pStyle w:val="2"/>
      </w:pPr>
    </w:p>
    <w:p>
      <w:pPr>
        <w:spacing w:line="579" w:lineRule="exact"/>
        <w:jc w:val="center"/>
        <w:rPr>
          <w:rFonts w:eastAsia="方正仿宋_GBK"/>
          <w:sz w:val="32"/>
          <w:szCs w:val="32"/>
        </w:rPr>
      </w:pPr>
      <w:r>
        <w:rPr>
          <w:rFonts w:eastAsia="方正仿宋_GBK"/>
          <w:sz w:val="32"/>
          <w:szCs w:val="32"/>
        </w:rPr>
        <w:t xml:space="preserve">                   重庆市黔江区人民政府  </w:t>
      </w:r>
    </w:p>
    <w:p>
      <w:pPr>
        <w:spacing w:line="579" w:lineRule="exact"/>
        <w:jc w:val="center"/>
        <w:rPr>
          <w:rFonts w:eastAsia="方正仿宋_GBK"/>
          <w:sz w:val="32"/>
          <w:szCs w:val="32"/>
        </w:rPr>
      </w:pPr>
      <w:r>
        <w:rPr>
          <w:rFonts w:eastAsia="方正仿宋_GBK"/>
          <w:sz w:val="32"/>
          <w:szCs w:val="32"/>
        </w:rPr>
        <w:t xml:space="preserve">                    2021年</w:t>
      </w:r>
      <w:r>
        <w:rPr>
          <w:rFonts w:hint="eastAsia" w:eastAsia="方正仿宋_GBK"/>
          <w:sz w:val="32"/>
          <w:szCs w:val="32"/>
        </w:rPr>
        <w:t>10</w:t>
      </w:r>
      <w:r>
        <w:rPr>
          <w:rFonts w:eastAsia="方正仿宋_GBK"/>
          <w:sz w:val="32"/>
          <w:szCs w:val="32"/>
        </w:rPr>
        <w:t>月</w:t>
      </w:r>
      <w:r>
        <w:rPr>
          <w:rFonts w:hint="eastAsia" w:eastAsia="方正仿宋_GBK"/>
          <w:sz w:val="32"/>
          <w:szCs w:val="32"/>
        </w:rPr>
        <w:t>12</w:t>
      </w:r>
      <w:r>
        <w:rPr>
          <w:rFonts w:eastAsia="方正仿宋_GBK"/>
          <w:sz w:val="32"/>
          <w:szCs w:val="32"/>
        </w:rPr>
        <w:t>日</w:t>
      </w:r>
    </w:p>
    <w:p>
      <w:pPr>
        <w:spacing w:line="360" w:lineRule="exact"/>
        <w:ind w:firstLine="640" w:firstLineChars="200"/>
        <w:jc w:val="left"/>
        <w:rPr>
          <w:rFonts w:hint="eastAsia" w:eastAsia="方正仿宋_GBK"/>
          <w:sz w:val="32"/>
          <w:szCs w:val="32"/>
        </w:rPr>
      </w:pPr>
    </w:p>
    <w:p>
      <w:pPr>
        <w:spacing w:line="360" w:lineRule="exact"/>
        <w:ind w:firstLine="640" w:firstLineChars="200"/>
        <w:jc w:val="left"/>
        <w:rPr>
          <w:rFonts w:eastAsia="方正小标宋简体"/>
          <w:sz w:val="44"/>
          <w:szCs w:val="44"/>
        </w:rPr>
      </w:pPr>
      <w:r>
        <w:rPr>
          <w:rFonts w:hint="eastAsia" w:eastAsia="方正仿宋_GBK"/>
          <w:sz w:val="32"/>
          <w:szCs w:val="32"/>
        </w:rPr>
        <w:t>（此件公开发布）</w:t>
      </w: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spacing w:line="700" w:lineRule="exact"/>
        <w:jc w:val="center"/>
        <w:rPr>
          <w:rFonts w:eastAsia="方正小标宋简体"/>
          <w:b/>
          <w:sz w:val="52"/>
          <w:szCs w:val="52"/>
        </w:rPr>
      </w:pPr>
    </w:p>
    <w:p>
      <w:pPr>
        <w:tabs>
          <w:tab w:val="right" w:leader="dot" w:pos="8820"/>
        </w:tabs>
        <w:snapToGrid w:val="0"/>
        <w:spacing w:line="594" w:lineRule="exact"/>
        <w:jc w:val="center"/>
        <w:rPr>
          <w:rFonts w:eastAsia="方正小标宋简体"/>
          <w:b/>
          <w:sz w:val="52"/>
          <w:szCs w:val="52"/>
        </w:rPr>
      </w:pPr>
    </w:p>
    <w:p/>
    <w:p/>
    <w:p/>
    <w:p>
      <w:pPr>
        <w:jc w:val="left"/>
      </w:pPr>
      <w:r>
        <w:br w:type="page"/>
      </w:r>
    </w:p>
    <w:p>
      <w:pPr>
        <w:tabs>
          <w:tab w:val="right" w:leader="dot" w:pos="8820"/>
        </w:tabs>
        <w:snapToGrid w:val="0"/>
        <w:spacing w:line="594" w:lineRule="exact"/>
        <w:jc w:val="center"/>
        <w:rPr>
          <w:rFonts w:eastAsia="方正黑体_GBK"/>
          <w:color w:val="000000"/>
          <w:sz w:val="32"/>
          <w:szCs w:val="32"/>
        </w:rPr>
      </w:pPr>
      <w:r>
        <w:rPr>
          <w:rFonts w:eastAsia="方正黑体_GBK"/>
          <w:color w:val="000000"/>
          <w:sz w:val="32"/>
          <w:szCs w:val="32"/>
        </w:rPr>
        <w:t>目  录</w:t>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TOC \o "1-2" \h \u </w:instrText>
      </w:r>
      <w:r>
        <w:rPr>
          <w:rFonts w:eastAsia="方正楷体_GBK"/>
          <w:color w:val="000000"/>
          <w:sz w:val="28"/>
          <w:szCs w:val="28"/>
        </w:rPr>
        <w:fldChar w:fldCharType="separate"/>
      </w:r>
      <w:r>
        <w:rPr>
          <w:rFonts w:eastAsia="方正楷体_GBK"/>
          <w:color w:val="000000"/>
          <w:sz w:val="28"/>
          <w:szCs w:val="28"/>
        </w:rPr>
        <w:fldChar w:fldCharType="begin"/>
      </w:r>
      <w:r>
        <w:rPr>
          <w:rFonts w:eastAsia="方正楷体_GBK"/>
          <w:color w:val="000000"/>
          <w:sz w:val="28"/>
          <w:szCs w:val="28"/>
        </w:rPr>
        <w:instrText xml:space="preserve"> HYPERLINK \l _Toc24399 </w:instrText>
      </w:r>
      <w:r>
        <w:rPr>
          <w:rFonts w:eastAsia="方正楷体_GBK"/>
          <w:color w:val="000000"/>
          <w:sz w:val="28"/>
          <w:szCs w:val="28"/>
        </w:rPr>
        <w:fldChar w:fldCharType="separate"/>
      </w:r>
      <w:r>
        <w:rPr>
          <w:rFonts w:eastAsia="方正黑体_GBK"/>
          <w:color w:val="000000"/>
          <w:sz w:val="28"/>
          <w:szCs w:val="28"/>
        </w:rPr>
        <w:t>一、规划总则</w:t>
      </w:r>
      <w:r>
        <w:rPr>
          <w:color w:val="000000"/>
          <w:sz w:val="28"/>
          <w:szCs w:val="28"/>
        </w:rPr>
        <w:tab/>
      </w:r>
      <w:r>
        <w:rPr>
          <w:color w:val="000000"/>
          <w:sz w:val="28"/>
          <w:szCs w:val="28"/>
        </w:rPr>
        <w:fldChar w:fldCharType="begin"/>
      </w:r>
      <w:r>
        <w:rPr>
          <w:color w:val="000000"/>
          <w:sz w:val="28"/>
          <w:szCs w:val="28"/>
        </w:rPr>
        <w:instrText xml:space="preserve"> PAGEREF _Toc24399 \h </w:instrText>
      </w:r>
      <w:r>
        <w:rPr>
          <w:color w:val="000000"/>
          <w:sz w:val="28"/>
          <w:szCs w:val="28"/>
        </w:rPr>
        <w:fldChar w:fldCharType="separate"/>
      </w:r>
      <w:r>
        <w:rPr>
          <w:color w:val="000000"/>
          <w:sz w:val="28"/>
          <w:szCs w:val="28"/>
        </w:rPr>
        <w:t>7</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_Toc22406 </w:instrText>
      </w:r>
      <w:r>
        <w:rPr>
          <w:rFonts w:eastAsia="方正楷体_GBK"/>
          <w:color w:val="000000"/>
          <w:sz w:val="28"/>
          <w:szCs w:val="28"/>
        </w:rPr>
        <w:fldChar w:fldCharType="separate"/>
      </w:r>
      <w:r>
        <w:rPr>
          <w:rFonts w:eastAsia="方正楷体_GBK"/>
          <w:color w:val="000000"/>
          <w:sz w:val="28"/>
          <w:szCs w:val="28"/>
        </w:rPr>
        <w:t>（一）规划依据</w:t>
      </w:r>
      <w:r>
        <w:rPr>
          <w:color w:val="000000"/>
          <w:sz w:val="28"/>
          <w:szCs w:val="28"/>
        </w:rPr>
        <w:tab/>
      </w:r>
      <w:r>
        <w:rPr>
          <w:color w:val="000000"/>
          <w:sz w:val="28"/>
          <w:szCs w:val="28"/>
        </w:rPr>
        <w:fldChar w:fldCharType="begin"/>
      </w:r>
      <w:r>
        <w:rPr>
          <w:color w:val="000000"/>
          <w:sz w:val="28"/>
          <w:szCs w:val="28"/>
        </w:rPr>
        <w:instrText xml:space="preserve"> PAGEREF _Toc22406 \h </w:instrText>
      </w:r>
      <w:r>
        <w:rPr>
          <w:color w:val="000000"/>
          <w:sz w:val="28"/>
          <w:szCs w:val="28"/>
        </w:rPr>
        <w:fldChar w:fldCharType="separate"/>
      </w:r>
      <w:r>
        <w:rPr>
          <w:color w:val="000000"/>
          <w:sz w:val="28"/>
          <w:szCs w:val="28"/>
        </w:rPr>
        <w:t>7</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_Toc13352 </w:instrText>
      </w:r>
      <w:r>
        <w:rPr>
          <w:rFonts w:eastAsia="方正楷体_GBK"/>
          <w:color w:val="000000"/>
          <w:sz w:val="28"/>
          <w:szCs w:val="28"/>
        </w:rPr>
        <w:fldChar w:fldCharType="separate"/>
      </w:r>
      <w:r>
        <w:rPr>
          <w:rFonts w:eastAsia="方正楷体_GBK"/>
          <w:color w:val="000000"/>
          <w:sz w:val="28"/>
          <w:szCs w:val="28"/>
        </w:rPr>
        <w:t>（二）规划对象</w:t>
      </w:r>
      <w:r>
        <w:rPr>
          <w:color w:val="000000"/>
          <w:sz w:val="28"/>
          <w:szCs w:val="28"/>
        </w:rPr>
        <w:tab/>
      </w:r>
      <w:r>
        <w:rPr>
          <w:color w:val="000000"/>
          <w:sz w:val="28"/>
          <w:szCs w:val="28"/>
        </w:rPr>
        <w:fldChar w:fldCharType="begin"/>
      </w:r>
      <w:r>
        <w:rPr>
          <w:color w:val="000000"/>
          <w:sz w:val="28"/>
          <w:szCs w:val="28"/>
        </w:rPr>
        <w:instrText xml:space="preserve"> PAGEREF _Toc13352 \h </w:instrText>
      </w:r>
      <w:r>
        <w:rPr>
          <w:color w:val="000000"/>
          <w:sz w:val="28"/>
          <w:szCs w:val="28"/>
        </w:rPr>
        <w:fldChar w:fldCharType="separate"/>
      </w:r>
      <w:r>
        <w:rPr>
          <w:color w:val="000000"/>
          <w:sz w:val="28"/>
          <w:szCs w:val="28"/>
        </w:rPr>
        <w:t>8</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_Toc2146 </w:instrText>
      </w:r>
      <w:r>
        <w:rPr>
          <w:rFonts w:eastAsia="方正楷体_GBK"/>
          <w:color w:val="000000"/>
          <w:sz w:val="28"/>
          <w:szCs w:val="28"/>
        </w:rPr>
        <w:fldChar w:fldCharType="separate"/>
      </w:r>
      <w:r>
        <w:rPr>
          <w:rFonts w:eastAsia="方正楷体_GBK"/>
          <w:color w:val="000000"/>
          <w:sz w:val="28"/>
          <w:szCs w:val="28"/>
        </w:rPr>
        <w:t>（三）规划范围</w:t>
      </w:r>
      <w:r>
        <w:rPr>
          <w:color w:val="000000"/>
          <w:sz w:val="28"/>
          <w:szCs w:val="28"/>
        </w:rPr>
        <w:tab/>
      </w:r>
      <w:r>
        <w:rPr>
          <w:color w:val="000000"/>
          <w:sz w:val="28"/>
          <w:szCs w:val="28"/>
        </w:rPr>
        <w:fldChar w:fldCharType="begin"/>
      </w:r>
      <w:r>
        <w:rPr>
          <w:color w:val="000000"/>
          <w:sz w:val="28"/>
          <w:szCs w:val="28"/>
        </w:rPr>
        <w:instrText xml:space="preserve"> PAGEREF _Toc2146 \h </w:instrText>
      </w:r>
      <w:r>
        <w:rPr>
          <w:color w:val="000000"/>
          <w:sz w:val="28"/>
          <w:szCs w:val="28"/>
        </w:rPr>
        <w:fldChar w:fldCharType="separate"/>
      </w:r>
      <w:r>
        <w:rPr>
          <w:color w:val="000000"/>
          <w:sz w:val="28"/>
          <w:szCs w:val="28"/>
        </w:rPr>
        <w:t>8</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_Toc24455 </w:instrText>
      </w:r>
      <w:r>
        <w:rPr>
          <w:rFonts w:eastAsia="方正楷体_GBK"/>
          <w:color w:val="000000"/>
          <w:sz w:val="28"/>
          <w:szCs w:val="28"/>
        </w:rPr>
        <w:fldChar w:fldCharType="separate"/>
      </w:r>
      <w:r>
        <w:rPr>
          <w:rFonts w:eastAsia="方正楷体_GBK"/>
          <w:color w:val="000000"/>
          <w:sz w:val="28"/>
          <w:szCs w:val="28"/>
        </w:rPr>
        <w:t>（四）规划期限</w:t>
      </w:r>
      <w:r>
        <w:rPr>
          <w:color w:val="000000"/>
          <w:sz w:val="28"/>
          <w:szCs w:val="28"/>
        </w:rPr>
        <w:tab/>
      </w:r>
      <w:r>
        <w:rPr>
          <w:color w:val="000000"/>
          <w:sz w:val="28"/>
          <w:szCs w:val="28"/>
        </w:rPr>
        <w:fldChar w:fldCharType="begin"/>
      </w:r>
      <w:r>
        <w:rPr>
          <w:color w:val="000000"/>
          <w:sz w:val="28"/>
          <w:szCs w:val="28"/>
        </w:rPr>
        <w:instrText xml:space="preserve"> PAGEREF _Toc24455 \h </w:instrText>
      </w:r>
      <w:r>
        <w:rPr>
          <w:color w:val="000000"/>
          <w:sz w:val="28"/>
          <w:szCs w:val="28"/>
        </w:rPr>
        <w:fldChar w:fldCharType="separate"/>
      </w:r>
      <w:r>
        <w:rPr>
          <w:color w:val="000000"/>
          <w:sz w:val="28"/>
          <w:szCs w:val="28"/>
        </w:rPr>
        <w:t>9</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_Toc26638 </w:instrText>
      </w:r>
      <w:r>
        <w:rPr>
          <w:rFonts w:eastAsia="方正楷体_GBK"/>
          <w:color w:val="000000"/>
          <w:sz w:val="28"/>
          <w:szCs w:val="28"/>
        </w:rPr>
        <w:fldChar w:fldCharType="separate"/>
      </w:r>
      <w:r>
        <w:rPr>
          <w:rFonts w:eastAsia="方正黑体_GBK"/>
          <w:color w:val="000000"/>
          <w:sz w:val="28"/>
          <w:szCs w:val="28"/>
        </w:rPr>
        <w:t>二、规划背景</w:t>
      </w:r>
      <w:r>
        <w:rPr>
          <w:color w:val="000000"/>
          <w:sz w:val="28"/>
          <w:szCs w:val="28"/>
        </w:rPr>
        <w:tab/>
      </w:r>
      <w:r>
        <w:rPr>
          <w:color w:val="000000"/>
          <w:sz w:val="28"/>
          <w:szCs w:val="28"/>
        </w:rPr>
        <w:fldChar w:fldCharType="begin"/>
      </w:r>
      <w:r>
        <w:rPr>
          <w:color w:val="000000"/>
          <w:sz w:val="28"/>
          <w:szCs w:val="28"/>
        </w:rPr>
        <w:instrText xml:space="preserve"> PAGEREF _Toc26638 \h </w:instrText>
      </w:r>
      <w:r>
        <w:rPr>
          <w:color w:val="000000"/>
          <w:sz w:val="28"/>
          <w:szCs w:val="28"/>
        </w:rPr>
        <w:fldChar w:fldCharType="separate"/>
      </w:r>
      <w:r>
        <w:rPr>
          <w:color w:val="000000"/>
          <w:sz w:val="28"/>
          <w:szCs w:val="28"/>
        </w:rPr>
        <w:t>10</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_Toc18505 </w:instrText>
      </w:r>
      <w:r>
        <w:rPr>
          <w:rFonts w:eastAsia="方正楷体_GBK"/>
          <w:color w:val="000000"/>
          <w:sz w:val="28"/>
          <w:szCs w:val="28"/>
        </w:rPr>
        <w:fldChar w:fldCharType="separate"/>
      </w:r>
      <w:r>
        <w:rPr>
          <w:rFonts w:eastAsia="方正楷体_GBK"/>
          <w:color w:val="000000"/>
          <w:sz w:val="28"/>
          <w:szCs w:val="28"/>
        </w:rPr>
        <w:t>（一）发展成就</w:t>
      </w:r>
      <w:r>
        <w:rPr>
          <w:color w:val="000000"/>
          <w:sz w:val="28"/>
          <w:szCs w:val="28"/>
        </w:rPr>
        <w:tab/>
      </w:r>
      <w:r>
        <w:rPr>
          <w:color w:val="000000"/>
          <w:sz w:val="28"/>
          <w:szCs w:val="28"/>
        </w:rPr>
        <w:fldChar w:fldCharType="begin"/>
      </w:r>
      <w:r>
        <w:rPr>
          <w:color w:val="000000"/>
          <w:sz w:val="28"/>
          <w:szCs w:val="28"/>
        </w:rPr>
        <w:instrText xml:space="preserve"> PAGEREF _Toc18505 \h </w:instrText>
      </w:r>
      <w:r>
        <w:rPr>
          <w:color w:val="000000"/>
          <w:sz w:val="28"/>
          <w:szCs w:val="28"/>
        </w:rPr>
        <w:fldChar w:fldCharType="separate"/>
      </w:r>
      <w:r>
        <w:rPr>
          <w:color w:val="000000"/>
          <w:sz w:val="28"/>
          <w:szCs w:val="28"/>
        </w:rPr>
        <w:t>10</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_Toc3860 </w:instrText>
      </w:r>
      <w:r>
        <w:rPr>
          <w:rFonts w:eastAsia="方正楷体_GBK"/>
          <w:color w:val="000000"/>
          <w:sz w:val="28"/>
          <w:szCs w:val="28"/>
        </w:rPr>
        <w:fldChar w:fldCharType="separate"/>
      </w:r>
      <w:r>
        <w:rPr>
          <w:rFonts w:eastAsia="方正楷体_GBK"/>
          <w:color w:val="000000"/>
          <w:sz w:val="28"/>
          <w:szCs w:val="28"/>
        </w:rPr>
        <w:t>（二）存在问题</w:t>
      </w:r>
      <w:r>
        <w:rPr>
          <w:color w:val="000000"/>
          <w:sz w:val="28"/>
          <w:szCs w:val="28"/>
        </w:rPr>
        <w:tab/>
      </w:r>
      <w:r>
        <w:rPr>
          <w:color w:val="000000"/>
          <w:sz w:val="28"/>
          <w:szCs w:val="28"/>
        </w:rPr>
        <w:fldChar w:fldCharType="begin"/>
      </w:r>
      <w:r>
        <w:rPr>
          <w:color w:val="000000"/>
          <w:sz w:val="28"/>
          <w:szCs w:val="28"/>
        </w:rPr>
        <w:instrText xml:space="preserve"> PAGEREF _Toc3860 \h </w:instrText>
      </w:r>
      <w:r>
        <w:rPr>
          <w:color w:val="000000"/>
          <w:sz w:val="28"/>
          <w:szCs w:val="28"/>
        </w:rPr>
        <w:fldChar w:fldCharType="separate"/>
      </w:r>
      <w:r>
        <w:rPr>
          <w:color w:val="000000"/>
          <w:sz w:val="28"/>
          <w:szCs w:val="28"/>
        </w:rPr>
        <w:t>12</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_Toc17768 </w:instrText>
      </w:r>
      <w:r>
        <w:rPr>
          <w:rFonts w:eastAsia="方正楷体_GBK"/>
          <w:color w:val="000000"/>
          <w:sz w:val="28"/>
          <w:szCs w:val="28"/>
        </w:rPr>
        <w:fldChar w:fldCharType="separate"/>
      </w:r>
      <w:r>
        <w:rPr>
          <w:rFonts w:eastAsia="方正楷体_GBK"/>
          <w:color w:val="000000"/>
          <w:sz w:val="28"/>
          <w:szCs w:val="28"/>
        </w:rPr>
        <w:t>（三）发展机遇</w:t>
      </w:r>
      <w:r>
        <w:rPr>
          <w:color w:val="000000"/>
          <w:sz w:val="28"/>
          <w:szCs w:val="28"/>
        </w:rPr>
        <w:tab/>
      </w:r>
      <w:r>
        <w:rPr>
          <w:color w:val="000000"/>
          <w:sz w:val="28"/>
          <w:szCs w:val="28"/>
        </w:rPr>
        <w:fldChar w:fldCharType="begin"/>
      </w:r>
      <w:r>
        <w:rPr>
          <w:color w:val="000000"/>
          <w:sz w:val="28"/>
          <w:szCs w:val="28"/>
        </w:rPr>
        <w:instrText xml:space="preserve"> PAGEREF _Toc17768 \h </w:instrText>
      </w:r>
      <w:r>
        <w:rPr>
          <w:color w:val="000000"/>
          <w:sz w:val="28"/>
          <w:szCs w:val="28"/>
        </w:rPr>
        <w:fldChar w:fldCharType="separate"/>
      </w:r>
      <w:r>
        <w:rPr>
          <w:color w:val="000000"/>
          <w:sz w:val="28"/>
          <w:szCs w:val="28"/>
        </w:rPr>
        <w:t>13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_Toc32449 </w:instrText>
      </w:r>
      <w:r>
        <w:rPr>
          <w:rFonts w:eastAsia="方正楷体_GBK"/>
          <w:color w:val="000000"/>
          <w:sz w:val="28"/>
          <w:szCs w:val="28"/>
        </w:rPr>
        <w:fldChar w:fldCharType="separate"/>
      </w:r>
      <w:r>
        <w:rPr>
          <w:rFonts w:eastAsia="方正楷体_GBK"/>
          <w:color w:val="000000"/>
          <w:sz w:val="28"/>
          <w:szCs w:val="28"/>
        </w:rPr>
        <w:t>（四）面临挑战</w:t>
      </w:r>
      <w:r>
        <w:rPr>
          <w:color w:val="000000"/>
          <w:sz w:val="28"/>
          <w:szCs w:val="28"/>
        </w:rPr>
        <w:tab/>
      </w:r>
      <w:r>
        <w:rPr>
          <w:color w:val="000000"/>
          <w:sz w:val="28"/>
          <w:szCs w:val="28"/>
        </w:rPr>
        <w:fldChar w:fldCharType="begin"/>
      </w:r>
      <w:r>
        <w:rPr>
          <w:color w:val="000000"/>
          <w:sz w:val="28"/>
          <w:szCs w:val="28"/>
        </w:rPr>
        <w:instrText xml:space="preserve"> PAGEREF _Toc32449 \h </w:instrText>
      </w:r>
      <w:r>
        <w:rPr>
          <w:color w:val="000000"/>
          <w:sz w:val="28"/>
          <w:szCs w:val="28"/>
        </w:rPr>
        <w:fldChar w:fldCharType="separate"/>
      </w:r>
      <w:r>
        <w:rPr>
          <w:color w:val="000000"/>
          <w:sz w:val="28"/>
          <w:szCs w:val="28"/>
        </w:rPr>
        <w:t>17</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_Toc2157 </w:instrText>
      </w:r>
      <w:r>
        <w:rPr>
          <w:rFonts w:eastAsia="方正楷体_GBK"/>
          <w:color w:val="000000"/>
          <w:sz w:val="28"/>
          <w:szCs w:val="28"/>
        </w:rPr>
        <w:fldChar w:fldCharType="separate"/>
      </w:r>
      <w:r>
        <w:rPr>
          <w:rFonts w:eastAsia="方正黑体_GBK"/>
          <w:color w:val="000000"/>
          <w:sz w:val="28"/>
          <w:szCs w:val="28"/>
        </w:rPr>
        <w:t>三、总体思路</w:t>
      </w:r>
      <w:r>
        <w:rPr>
          <w:color w:val="000000"/>
          <w:sz w:val="28"/>
          <w:szCs w:val="28"/>
        </w:rPr>
        <w:tab/>
      </w:r>
      <w:r>
        <w:rPr>
          <w:color w:val="000000"/>
          <w:sz w:val="28"/>
          <w:szCs w:val="28"/>
        </w:rPr>
        <w:fldChar w:fldCharType="begin"/>
      </w:r>
      <w:r>
        <w:rPr>
          <w:color w:val="000000"/>
          <w:sz w:val="28"/>
          <w:szCs w:val="28"/>
        </w:rPr>
        <w:instrText xml:space="preserve"> PAGEREF _Toc2157 \h </w:instrText>
      </w:r>
      <w:r>
        <w:rPr>
          <w:color w:val="000000"/>
          <w:sz w:val="28"/>
          <w:szCs w:val="28"/>
        </w:rPr>
        <w:fldChar w:fldCharType="separate"/>
      </w:r>
      <w:r>
        <w:rPr>
          <w:color w:val="000000"/>
          <w:sz w:val="28"/>
          <w:szCs w:val="28"/>
        </w:rPr>
        <w:t>18</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_Toc10804 </w:instrText>
      </w:r>
      <w:r>
        <w:rPr>
          <w:rFonts w:eastAsia="方正楷体_GBK"/>
          <w:color w:val="000000"/>
          <w:sz w:val="28"/>
          <w:szCs w:val="28"/>
        </w:rPr>
        <w:fldChar w:fldCharType="separate"/>
      </w:r>
      <w:r>
        <w:rPr>
          <w:rFonts w:eastAsia="方正楷体_GBK"/>
          <w:color w:val="000000"/>
          <w:sz w:val="28"/>
          <w:szCs w:val="28"/>
        </w:rPr>
        <w:t>（一）指导思想</w:t>
      </w:r>
      <w:r>
        <w:rPr>
          <w:color w:val="000000"/>
          <w:sz w:val="28"/>
          <w:szCs w:val="28"/>
        </w:rPr>
        <w:tab/>
      </w:r>
      <w:r>
        <w:rPr>
          <w:color w:val="000000"/>
          <w:sz w:val="28"/>
          <w:szCs w:val="28"/>
        </w:rPr>
        <w:fldChar w:fldCharType="begin"/>
      </w:r>
      <w:r>
        <w:rPr>
          <w:color w:val="000000"/>
          <w:sz w:val="28"/>
          <w:szCs w:val="28"/>
        </w:rPr>
        <w:instrText xml:space="preserve"> PAGEREF _Toc10804 \h </w:instrText>
      </w:r>
      <w:r>
        <w:rPr>
          <w:color w:val="000000"/>
          <w:sz w:val="28"/>
          <w:szCs w:val="28"/>
        </w:rPr>
        <w:fldChar w:fldCharType="separate"/>
      </w:r>
      <w:r>
        <w:rPr>
          <w:color w:val="000000"/>
          <w:sz w:val="28"/>
          <w:szCs w:val="28"/>
        </w:rPr>
        <w:t>18</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_Toc10415 </w:instrText>
      </w:r>
      <w:r>
        <w:rPr>
          <w:rFonts w:eastAsia="方正楷体_GBK"/>
          <w:color w:val="000000"/>
          <w:sz w:val="28"/>
          <w:szCs w:val="28"/>
        </w:rPr>
        <w:fldChar w:fldCharType="separate"/>
      </w:r>
      <w:r>
        <w:rPr>
          <w:rFonts w:eastAsia="方正楷体_GBK"/>
          <w:color w:val="000000"/>
          <w:sz w:val="28"/>
          <w:szCs w:val="28"/>
        </w:rPr>
        <w:t>（二）基本原则</w:t>
      </w:r>
      <w:r>
        <w:rPr>
          <w:color w:val="000000"/>
          <w:sz w:val="28"/>
          <w:szCs w:val="28"/>
        </w:rPr>
        <w:tab/>
      </w:r>
      <w:r>
        <w:rPr>
          <w:color w:val="000000"/>
          <w:sz w:val="28"/>
          <w:szCs w:val="28"/>
        </w:rPr>
        <w:fldChar w:fldCharType="begin"/>
      </w:r>
      <w:r>
        <w:rPr>
          <w:color w:val="000000"/>
          <w:sz w:val="28"/>
          <w:szCs w:val="28"/>
        </w:rPr>
        <w:instrText xml:space="preserve"> PAGEREF _Toc10415 \h </w:instrText>
      </w:r>
      <w:r>
        <w:rPr>
          <w:color w:val="000000"/>
          <w:sz w:val="28"/>
          <w:szCs w:val="28"/>
        </w:rPr>
        <w:fldChar w:fldCharType="separate"/>
      </w:r>
      <w:r>
        <w:rPr>
          <w:color w:val="000000"/>
          <w:sz w:val="28"/>
          <w:szCs w:val="28"/>
        </w:rPr>
        <w:t>18</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_Toc24889 </w:instrText>
      </w:r>
      <w:r>
        <w:rPr>
          <w:rFonts w:eastAsia="方正楷体_GBK"/>
          <w:color w:val="000000"/>
          <w:sz w:val="28"/>
          <w:szCs w:val="28"/>
        </w:rPr>
        <w:fldChar w:fldCharType="separate"/>
      </w:r>
      <w:r>
        <w:rPr>
          <w:rFonts w:eastAsia="方正楷体_GBK"/>
          <w:color w:val="000000"/>
          <w:sz w:val="28"/>
          <w:szCs w:val="28"/>
        </w:rPr>
        <w:t>（三）战略定位</w:t>
      </w:r>
      <w:r>
        <w:rPr>
          <w:color w:val="000000"/>
          <w:sz w:val="28"/>
          <w:szCs w:val="28"/>
        </w:rPr>
        <w:tab/>
      </w:r>
      <w:r>
        <w:rPr>
          <w:color w:val="000000"/>
          <w:sz w:val="28"/>
          <w:szCs w:val="28"/>
        </w:rPr>
        <w:fldChar w:fldCharType="begin"/>
      </w:r>
      <w:r>
        <w:rPr>
          <w:color w:val="000000"/>
          <w:sz w:val="28"/>
          <w:szCs w:val="28"/>
        </w:rPr>
        <w:instrText xml:space="preserve"> PAGEREF _Toc24889 \h </w:instrText>
      </w:r>
      <w:r>
        <w:rPr>
          <w:color w:val="000000"/>
          <w:sz w:val="28"/>
          <w:szCs w:val="28"/>
        </w:rPr>
        <w:fldChar w:fldCharType="separate"/>
      </w:r>
      <w:r>
        <w:rPr>
          <w:color w:val="000000"/>
          <w:sz w:val="28"/>
          <w:szCs w:val="28"/>
        </w:rPr>
        <w:t>20</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_Toc29378 </w:instrText>
      </w:r>
      <w:r>
        <w:rPr>
          <w:rFonts w:eastAsia="方正楷体_GBK"/>
          <w:color w:val="000000"/>
          <w:sz w:val="28"/>
          <w:szCs w:val="28"/>
        </w:rPr>
        <w:fldChar w:fldCharType="separate"/>
      </w:r>
      <w:r>
        <w:rPr>
          <w:rFonts w:eastAsia="方正楷体_GBK"/>
          <w:color w:val="000000"/>
          <w:sz w:val="28"/>
          <w:szCs w:val="28"/>
        </w:rPr>
        <w:t>（四）发展目标</w:t>
      </w:r>
      <w:r>
        <w:rPr>
          <w:color w:val="000000"/>
          <w:sz w:val="28"/>
          <w:szCs w:val="28"/>
        </w:rPr>
        <w:tab/>
      </w:r>
      <w:r>
        <w:rPr>
          <w:color w:val="000000"/>
          <w:sz w:val="28"/>
          <w:szCs w:val="28"/>
        </w:rPr>
        <w:fldChar w:fldCharType="begin"/>
      </w:r>
      <w:r>
        <w:rPr>
          <w:color w:val="000000"/>
          <w:sz w:val="28"/>
          <w:szCs w:val="28"/>
        </w:rPr>
        <w:instrText xml:space="preserve"> PAGEREF _Toc29378 \h </w:instrText>
      </w:r>
      <w:r>
        <w:rPr>
          <w:color w:val="000000"/>
          <w:sz w:val="28"/>
          <w:szCs w:val="28"/>
        </w:rPr>
        <w:fldChar w:fldCharType="separate"/>
      </w:r>
      <w:r>
        <w:rPr>
          <w:color w:val="000000"/>
          <w:sz w:val="28"/>
          <w:szCs w:val="28"/>
        </w:rPr>
        <w:t>20</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_Toc9319 </w:instrText>
      </w:r>
      <w:r>
        <w:rPr>
          <w:rFonts w:eastAsia="方正楷体_GBK"/>
          <w:color w:val="000000"/>
          <w:sz w:val="28"/>
          <w:szCs w:val="28"/>
        </w:rPr>
        <w:fldChar w:fldCharType="separate"/>
      </w:r>
      <w:r>
        <w:rPr>
          <w:rFonts w:eastAsia="方正黑体_GBK"/>
          <w:color w:val="000000"/>
          <w:sz w:val="28"/>
          <w:szCs w:val="28"/>
        </w:rPr>
        <w:t>四、发展布局</w:t>
      </w:r>
      <w:r>
        <w:rPr>
          <w:color w:val="000000"/>
          <w:sz w:val="28"/>
          <w:szCs w:val="28"/>
        </w:rPr>
        <w:tab/>
      </w:r>
      <w:r>
        <w:rPr>
          <w:color w:val="000000"/>
          <w:sz w:val="28"/>
          <w:szCs w:val="28"/>
        </w:rPr>
        <w:fldChar w:fldCharType="begin"/>
      </w:r>
      <w:r>
        <w:rPr>
          <w:color w:val="000000"/>
          <w:sz w:val="28"/>
          <w:szCs w:val="28"/>
        </w:rPr>
        <w:instrText xml:space="preserve"> PAGEREF _Toc9319 \h </w:instrText>
      </w:r>
      <w:r>
        <w:rPr>
          <w:color w:val="000000"/>
          <w:sz w:val="28"/>
          <w:szCs w:val="28"/>
        </w:rPr>
        <w:fldChar w:fldCharType="separate"/>
      </w:r>
      <w:r>
        <w:rPr>
          <w:color w:val="000000"/>
          <w:sz w:val="28"/>
          <w:szCs w:val="28"/>
        </w:rPr>
        <w:t>23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_Toc19499 </w:instrText>
      </w:r>
      <w:r>
        <w:rPr>
          <w:rFonts w:eastAsia="方正楷体_GBK"/>
          <w:color w:val="000000"/>
          <w:sz w:val="28"/>
          <w:szCs w:val="28"/>
        </w:rPr>
        <w:fldChar w:fldCharType="separate"/>
      </w:r>
      <w:r>
        <w:rPr>
          <w:rFonts w:eastAsia="方正楷体_GBK"/>
          <w:color w:val="000000"/>
          <w:sz w:val="28"/>
          <w:szCs w:val="28"/>
        </w:rPr>
        <w:t>（一）现代城市商圈布局</w:t>
      </w:r>
      <w:r>
        <w:rPr>
          <w:color w:val="000000"/>
          <w:sz w:val="28"/>
          <w:szCs w:val="28"/>
        </w:rPr>
        <w:tab/>
      </w:r>
      <w:r>
        <w:rPr>
          <w:color w:val="000000"/>
          <w:sz w:val="28"/>
          <w:szCs w:val="28"/>
        </w:rPr>
        <w:fldChar w:fldCharType="begin"/>
      </w:r>
      <w:r>
        <w:rPr>
          <w:color w:val="000000"/>
          <w:sz w:val="28"/>
          <w:szCs w:val="28"/>
        </w:rPr>
        <w:instrText xml:space="preserve"> PAGEREF _Toc19499 \h </w:instrText>
      </w:r>
      <w:r>
        <w:rPr>
          <w:color w:val="000000"/>
          <w:sz w:val="28"/>
          <w:szCs w:val="28"/>
        </w:rPr>
        <w:fldChar w:fldCharType="separate"/>
      </w:r>
      <w:r>
        <w:rPr>
          <w:color w:val="000000"/>
          <w:sz w:val="28"/>
          <w:szCs w:val="28"/>
        </w:rPr>
        <w:t>23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_Toc18296 </w:instrText>
      </w:r>
      <w:r>
        <w:rPr>
          <w:rFonts w:eastAsia="方正楷体_GBK"/>
          <w:color w:val="000000"/>
          <w:sz w:val="28"/>
          <w:szCs w:val="28"/>
        </w:rPr>
        <w:fldChar w:fldCharType="separate"/>
      </w:r>
      <w:r>
        <w:rPr>
          <w:rFonts w:eastAsia="方正楷体_GBK"/>
          <w:color w:val="000000"/>
          <w:sz w:val="28"/>
          <w:szCs w:val="28"/>
        </w:rPr>
        <w:t>（二）对外开放平台布局</w:t>
      </w:r>
      <w:r>
        <w:rPr>
          <w:color w:val="000000"/>
          <w:sz w:val="28"/>
          <w:szCs w:val="28"/>
        </w:rPr>
        <w:tab/>
      </w:r>
      <w:r>
        <w:rPr>
          <w:color w:val="000000"/>
          <w:sz w:val="28"/>
          <w:szCs w:val="28"/>
        </w:rPr>
        <w:fldChar w:fldCharType="begin"/>
      </w:r>
      <w:r>
        <w:rPr>
          <w:color w:val="000000"/>
          <w:sz w:val="28"/>
          <w:szCs w:val="28"/>
        </w:rPr>
        <w:instrText xml:space="preserve"> PAGEREF _Toc18296 \h </w:instrText>
      </w:r>
      <w:r>
        <w:rPr>
          <w:color w:val="000000"/>
          <w:sz w:val="28"/>
          <w:szCs w:val="28"/>
        </w:rPr>
        <w:fldChar w:fldCharType="separate"/>
      </w:r>
      <w:r>
        <w:rPr>
          <w:color w:val="000000"/>
          <w:sz w:val="28"/>
          <w:szCs w:val="28"/>
        </w:rPr>
        <w:t>23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_Toc17335 </w:instrText>
      </w:r>
      <w:r>
        <w:rPr>
          <w:rFonts w:eastAsia="方正楷体_GBK"/>
          <w:color w:val="000000"/>
          <w:sz w:val="28"/>
          <w:szCs w:val="28"/>
        </w:rPr>
        <w:fldChar w:fldCharType="separate"/>
      </w:r>
      <w:r>
        <w:rPr>
          <w:rFonts w:eastAsia="方正楷体_GBK"/>
          <w:color w:val="000000"/>
          <w:sz w:val="28"/>
          <w:szCs w:val="28"/>
        </w:rPr>
        <w:t>（三）物流园区空间布局</w:t>
      </w:r>
      <w:r>
        <w:rPr>
          <w:color w:val="000000"/>
          <w:sz w:val="28"/>
          <w:szCs w:val="28"/>
        </w:rPr>
        <w:tab/>
      </w:r>
      <w:r>
        <w:rPr>
          <w:color w:val="000000"/>
          <w:sz w:val="28"/>
          <w:szCs w:val="28"/>
        </w:rPr>
        <w:fldChar w:fldCharType="begin"/>
      </w:r>
      <w:r>
        <w:rPr>
          <w:color w:val="000000"/>
          <w:sz w:val="28"/>
          <w:szCs w:val="28"/>
        </w:rPr>
        <w:instrText xml:space="preserve"> PAGEREF _Toc17335 \h </w:instrText>
      </w:r>
      <w:r>
        <w:rPr>
          <w:color w:val="000000"/>
          <w:sz w:val="28"/>
          <w:szCs w:val="28"/>
        </w:rPr>
        <w:fldChar w:fldCharType="separate"/>
      </w:r>
      <w:r>
        <w:rPr>
          <w:color w:val="000000"/>
          <w:sz w:val="28"/>
          <w:szCs w:val="28"/>
        </w:rPr>
        <w:t>23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_Toc29368 </w:instrText>
      </w:r>
      <w:r>
        <w:rPr>
          <w:rFonts w:eastAsia="方正楷体_GBK"/>
          <w:color w:val="000000"/>
          <w:sz w:val="28"/>
          <w:szCs w:val="28"/>
        </w:rPr>
        <w:fldChar w:fldCharType="separate"/>
      </w:r>
      <w:r>
        <w:rPr>
          <w:rFonts w:eastAsia="方正楷体_GBK"/>
          <w:color w:val="000000"/>
          <w:sz w:val="28"/>
          <w:szCs w:val="28"/>
        </w:rPr>
        <w:t>（四）专业交易市场布局</w:t>
      </w:r>
      <w:r>
        <w:rPr>
          <w:color w:val="000000"/>
          <w:sz w:val="28"/>
          <w:szCs w:val="28"/>
        </w:rPr>
        <w:tab/>
      </w:r>
      <w:r>
        <w:rPr>
          <w:color w:val="000000"/>
          <w:sz w:val="28"/>
          <w:szCs w:val="28"/>
        </w:rPr>
        <w:fldChar w:fldCharType="begin"/>
      </w:r>
      <w:r>
        <w:rPr>
          <w:color w:val="000000"/>
          <w:sz w:val="28"/>
          <w:szCs w:val="28"/>
        </w:rPr>
        <w:instrText xml:space="preserve"> PAGEREF _Toc29368 \h </w:instrText>
      </w:r>
      <w:r>
        <w:rPr>
          <w:color w:val="000000"/>
          <w:sz w:val="28"/>
          <w:szCs w:val="28"/>
        </w:rPr>
        <w:fldChar w:fldCharType="separate"/>
      </w:r>
      <w:r>
        <w:rPr>
          <w:color w:val="000000"/>
          <w:sz w:val="28"/>
          <w:szCs w:val="28"/>
        </w:rPr>
        <w:t>23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_Toc28650 </w:instrText>
      </w:r>
      <w:r>
        <w:rPr>
          <w:rFonts w:eastAsia="方正楷体_GBK"/>
          <w:color w:val="000000"/>
          <w:sz w:val="28"/>
          <w:szCs w:val="28"/>
        </w:rPr>
        <w:fldChar w:fldCharType="separate"/>
      </w:r>
      <w:r>
        <w:rPr>
          <w:rFonts w:eastAsia="方正楷体_GBK"/>
          <w:color w:val="000000"/>
          <w:sz w:val="28"/>
          <w:szCs w:val="28"/>
        </w:rPr>
        <w:t>（五）特色商业街区布局</w:t>
      </w:r>
      <w:r>
        <w:rPr>
          <w:color w:val="000000"/>
          <w:sz w:val="28"/>
          <w:szCs w:val="28"/>
        </w:rPr>
        <w:tab/>
      </w:r>
      <w:r>
        <w:rPr>
          <w:color w:val="000000"/>
          <w:sz w:val="28"/>
          <w:szCs w:val="28"/>
        </w:rPr>
        <w:fldChar w:fldCharType="begin"/>
      </w:r>
      <w:r>
        <w:rPr>
          <w:color w:val="000000"/>
          <w:sz w:val="28"/>
          <w:szCs w:val="28"/>
        </w:rPr>
        <w:instrText xml:space="preserve"> PAGEREF _Toc28650 \h </w:instrText>
      </w:r>
      <w:r>
        <w:rPr>
          <w:color w:val="000000"/>
          <w:sz w:val="28"/>
          <w:szCs w:val="28"/>
        </w:rPr>
        <w:fldChar w:fldCharType="separate"/>
      </w:r>
      <w:r>
        <w:rPr>
          <w:color w:val="000000"/>
          <w:sz w:val="28"/>
          <w:szCs w:val="28"/>
        </w:rPr>
        <w:t>24</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_Toc14696 </w:instrText>
      </w:r>
      <w:r>
        <w:rPr>
          <w:rFonts w:eastAsia="方正楷体_GBK"/>
          <w:color w:val="000000"/>
          <w:sz w:val="28"/>
          <w:szCs w:val="28"/>
        </w:rPr>
        <w:fldChar w:fldCharType="separate"/>
      </w:r>
      <w:r>
        <w:rPr>
          <w:rFonts w:eastAsia="方正黑体_GBK"/>
          <w:color w:val="000000"/>
          <w:sz w:val="28"/>
          <w:szCs w:val="28"/>
        </w:rPr>
        <w:t>五、加快商业集聚区建设，打造区域消费中心</w:t>
      </w:r>
      <w:r>
        <w:rPr>
          <w:color w:val="000000"/>
          <w:sz w:val="28"/>
          <w:szCs w:val="28"/>
        </w:rPr>
        <w:tab/>
      </w:r>
      <w:r>
        <w:rPr>
          <w:color w:val="000000"/>
          <w:sz w:val="28"/>
          <w:szCs w:val="28"/>
        </w:rPr>
        <w:fldChar w:fldCharType="begin"/>
      </w:r>
      <w:r>
        <w:rPr>
          <w:color w:val="000000"/>
          <w:sz w:val="28"/>
          <w:szCs w:val="28"/>
        </w:rPr>
        <w:instrText xml:space="preserve"> PAGEREF _Toc14696 \h </w:instrText>
      </w:r>
      <w:r>
        <w:rPr>
          <w:color w:val="000000"/>
          <w:sz w:val="28"/>
          <w:szCs w:val="28"/>
        </w:rPr>
        <w:fldChar w:fldCharType="separate"/>
      </w:r>
      <w:r>
        <w:rPr>
          <w:color w:val="000000"/>
          <w:sz w:val="28"/>
          <w:szCs w:val="28"/>
        </w:rPr>
        <w:t>25</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_Toc15011 </w:instrText>
      </w:r>
      <w:r>
        <w:rPr>
          <w:rFonts w:eastAsia="方正楷体_GBK"/>
          <w:color w:val="000000"/>
          <w:sz w:val="28"/>
          <w:szCs w:val="28"/>
        </w:rPr>
        <w:fldChar w:fldCharType="separate"/>
      </w:r>
      <w:r>
        <w:rPr>
          <w:rFonts w:eastAsia="方正楷体_GBK"/>
          <w:color w:val="000000"/>
          <w:sz w:val="28"/>
          <w:szCs w:val="28"/>
        </w:rPr>
        <w:t>（一）全面营造良好消费环境</w:t>
      </w:r>
      <w:r>
        <w:rPr>
          <w:color w:val="000000"/>
          <w:sz w:val="28"/>
          <w:szCs w:val="28"/>
        </w:rPr>
        <w:tab/>
      </w:r>
      <w:r>
        <w:rPr>
          <w:color w:val="000000"/>
          <w:sz w:val="28"/>
          <w:szCs w:val="28"/>
        </w:rPr>
        <w:fldChar w:fldCharType="begin"/>
      </w:r>
      <w:r>
        <w:rPr>
          <w:color w:val="000000"/>
          <w:sz w:val="28"/>
          <w:szCs w:val="28"/>
        </w:rPr>
        <w:instrText xml:space="preserve"> PAGEREF _Toc15011 \h </w:instrText>
      </w:r>
      <w:r>
        <w:rPr>
          <w:color w:val="000000"/>
          <w:sz w:val="28"/>
          <w:szCs w:val="28"/>
        </w:rPr>
        <w:fldChar w:fldCharType="separate"/>
      </w:r>
      <w:r>
        <w:rPr>
          <w:color w:val="000000"/>
          <w:sz w:val="28"/>
          <w:szCs w:val="28"/>
        </w:rPr>
        <w:t>25</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_Toc31488 </w:instrText>
      </w:r>
      <w:r>
        <w:rPr>
          <w:rFonts w:eastAsia="方正楷体_GBK"/>
          <w:color w:val="000000"/>
          <w:sz w:val="28"/>
          <w:szCs w:val="28"/>
        </w:rPr>
        <w:fldChar w:fldCharType="separate"/>
      </w:r>
      <w:r>
        <w:rPr>
          <w:rFonts w:eastAsia="方正楷体_GBK"/>
          <w:color w:val="000000"/>
          <w:sz w:val="28"/>
          <w:szCs w:val="28"/>
        </w:rPr>
        <w:t>（二）创新发展消费经济形态</w:t>
      </w:r>
      <w:r>
        <w:rPr>
          <w:color w:val="000000"/>
          <w:sz w:val="28"/>
          <w:szCs w:val="28"/>
        </w:rPr>
        <w:tab/>
      </w:r>
      <w:r>
        <w:rPr>
          <w:color w:val="000000"/>
          <w:sz w:val="28"/>
          <w:szCs w:val="28"/>
        </w:rPr>
        <w:fldChar w:fldCharType="begin"/>
      </w:r>
      <w:r>
        <w:rPr>
          <w:color w:val="000000"/>
          <w:sz w:val="28"/>
          <w:szCs w:val="28"/>
        </w:rPr>
        <w:instrText xml:space="preserve"> PAGEREF _Toc31488 \h </w:instrText>
      </w:r>
      <w:r>
        <w:rPr>
          <w:color w:val="000000"/>
          <w:sz w:val="28"/>
          <w:szCs w:val="28"/>
        </w:rPr>
        <w:fldChar w:fldCharType="separate"/>
      </w:r>
      <w:r>
        <w:rPr>
          <w:color w:val="000000"/>
          <w:sz w:val="28"/>
          <w:szCs w:val="28"/>
        </w:rPr>
        <w:t>25</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_Toc5676 </w:instrText>
      </w:r>
      <w:r>
        <w:rPr>
          <w:rFonts w:eastAsia="方正楷体_GBK"/>
          <w:color w:val="000000"/>
          <w:sz w:val="28"/>
          <w:szCs w:val="28"/>
        </w:rPr>
        <w:fldChar w:fldCharType="separate"/>
      </w:r>
      <w:r>
        <w:rPr>
          <w:rFonts w:eastAsia="方正楷体_GBK"/>
          <w:color w:val="000000"/>
          <w:sz w:val="28"/>
          <w:szCs w:val="28"/>
        </w:rPr>
        <w:t>（三）着力打造区域会展中心</w:t>
      </w:r>
      <w:r>
        <w:rPr>
          <w:color w:val="000000"/>
          <w:sz w:val="28"/>
          <w:szCs w:val="28"/>
        </w:rPr>
        <w:tab/>
      </w:r>
      <w:r>
        <w:rPr>
          <w:color w:val="000000"/>
          <w:sz w:val="28"/>
          <w:szCs w:val="28"/>
        </w:rPr>
        <w:fldChar w:fldCharType="begin"/>
      </w:r>
      <w:r>
        <w:rPr>
          <w:color w:val="000000"/>
          <w:sz w:val="28"/>
          <w:szCs w:val="28"/>
        </w:rPr>
        <w:instrText xml:space="preserve"> PAGEREF _Toc5676 \h </w:instrText>
      </w:r>
      <w:r>
        <w:rPr>
          <w:color w:val="000000"/>
          <w:sz w:val="28"/>
          <w:szCs w:val="28"/>
        </w:rPr>
        <w:fldChar w:fldCharType="separate"/>
      </w:r>
      <w:r>
        <w:rPr>
          <w:color w:val="000000"/>
          <w:sz w:val="28"/>
          <w:szCs w:val="28"/>
        </w:rPr>
        <w:t>27</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_Toc30353 </w:instrText>
      </w:r>
      <w:r>
        <w:rPr>
          <w:rFonts w:eastAsia="方正楷体_GBK"/>
          <w:color w:val="000000"/>
          <w:sz w:val="28"/>
          <w:szCs w:val="28"/>
        </w:rPr>
        <w:fldChar w:fldCharType="separate"/>
      </w:r>
      <w:r>
        <w:rPr>
          <w:rFonts w:eastAsia="方正楷体_GBK"/>
          <w:color w:val="000000"/>
          <w:sz w:val="28"/>
          <w:szCs w:val="28"/>
        </w:rPr>
        <w:t>（四）加快打造现代城市商圈</w:t>
      </w:r>
      <w:r>
        <w:rPr>
          <w:color w:val="000000"/>
          <w:sz w:val="28"/>
          <w:szCs w:val="28"/>
        </w:rPr>
        <w:tab/>
      </w:r>
      <w:r>
        <w:rPr>
          <w:color w:val="000000"/>
          <w:sz w:val="28"/>
          <w:szCs w:val="28"/>
        </w:rPr>
        <w:fldChar w:fldCharType="begin"/>
      </w:r>
      <w:r>
        <w:rPr>
          <w:color w:val="000000"/>
          <w:sz w:val="28"/>
          <w:szCs w:val="28"/>
        </w:rPr>
        <w:instrText xml:space="preserve"> PAGEREF _Toc30353 \h </w:instrText>
      </w:r>
      <w:r>
        <w:rPr>
          <w:color w:val="000000"/>
          <w:sz w:val="28"/>
          <w:szCs w:val="28"/>
        </w:rPr>
        <w:fldChar w:fldCharType="separate"/>
      </w:r>
      <w:r>
        <w:rPr>
          <w:color w:val="000000"/>
          <w:sz w:val="28"/>
          <w:szCs w:val="28"/>
        </w:rPr>
        <w:t>30</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_Toc11157 </w:instrText>
      </w:r>
      <w:r>
        <w:rPr>
          <w:rFonts w:eastAsia="方正楷体_GBK"/>
          <w:color w:val="000000"/>
          <w:sz w:val="28"/>
          <w:szCs w:val="28"/>
        </w:rPr>
        <w:fldChar w:fldCharType="separate"/>
      </w:r>
      <w:r>
        <w:rPr>
          <w:rFonts w:eastAsia="方正楷体_GBK"/>
          <w:color w:val="000000"/>
          <w:sz w:val="28"/>
          <w:szCs w:val="28"/>
        </w:rPr>
        <w:t>（五）培育一批特色商业街区</w:t>
      </w:r>
      <w:r>
        <w:rPr>
          <w:color w:val="000000"/>
          <w:sz w:val="28"/>
          <w:szCs w:val="28"/>
        </w:rPr>
        <w:tab/>
      </w:r>
      <w:r>
        <w:rPr>
          <w:color w:val="000000"/>
          <w:sz w:val="28"/>
          <w:szCs w:val="28"/>
        </w:rPr>
        <w:fldChar w:fldCharType="begin"/>
      </w:r>
      <w:r>
        <w:rPr>
          <w:color w:val="000000"/>
          <w:sz w:val="28"/>
          <w:szCs w:val="28"/>
        </w:rPr>
        <w:instrText xml:space="preserve"> PAGEREF _Toc11157 \h </w:instrText>
      </w:r>
      <w:r>
        <w:rPr>
          <w:color w:val="000000"/>
          <w:sz w:val="28"/>
          <w:szCs w:val="28"/>
        </w:rPr>
        <w:fldChar w:fldCharType="separate"/>
      </w:r>
      <w:r>
        <w:rPr>
          <w:color w:val="000000"/>
          <w:sz w:val="28"/>
          <w:szCs w:val="28"/>
        </w:rPr>
        <w:t>31</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_Toc1573 </w:instrText>
      </w:r>
      <w:r>
        <w:rPr>
          <w:rFonts w:eastAsia="方正楷体_GBK"/>
          <w:color w:val="000000"/>
          <w:sz w:val="28"/>
          <w:szCs w:val="28"/>
        </w:rPr>
        <w:fldChar w:fldCharType="separate"/>
      </w:r>
      <w:r>
        <w:rPr>
          <w:rFonts w:eastAsia="方正楷体_GBK"/>
          <w:color w:val="000000"/>
          <w:sz w:val="28"/>
          <w:szCs w:val="28"/>
        </w:rPr>
        <w:t>（六）优化社区商业服务设施</w:t>
      </w:r>
      <w:r>
        <w:rPr>
          <w:color w:val="000000"/>
          <w:sz w:val="28"/>
          <w:szCs w:val="28"/>
        </w:rPr>
        <w:tab/>
      </w:r>
      <w:r>
        <w:rPr>
          <w:color w:val="000000"/>
          <w:sz w:val="28"/>
          <w:szCs w:val="28"/>
        </w:rPr>
        <w:fldChar w:fldCharType="begin"/>
      </w:r>
      <w:r>
        <w:rPr>
          <w:color w:val="000000"/>
          <w:sz w:val="28"/>
          <w:szCs w:val="28"/>
        </w:rPr>
        <w:instrText xml:space="preserve"> PAGEREF _Toc1573 \h </w:instrText>
      </w:r>
      <w:r>
        <w:rPr>
          <w:color w:val="000000"/>
          <w:sz w:val="28"/>
          <w:szCs w:val="28"/>
        </w:rPr>
        <w:fldChar w:fldCharType="separate"/>
      </w:r>
      <w:r>
        <w:rPr>
          <w:color w:val="000000"/>
          <w:sz w:val="28"/>
          <w:szCs w:val="28"/>
        </w:rPr>
        <w:t>33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_Toc21777 </w:instrText>
      </w:r>
      <w:r>
        <w:rPr>
          <w:rFonts w:eastAsia="方正楷体_GBK"/>
          <w:color w:val="000000"/>
          <w:sz w:val="28"/>
          <w:szCs w:val="28"/>
        </w:rPr>
        <w:fldChar w:fldCharType="separate"/>
      </w:r>
      <w:r>
        <w:rPr>
          <w:rFonts w:eastAsia="方正楷体_GBK"/>
          <w:color w:val="000000"/>
          <w:sz w:val="28"/>
          <w:szCs w:val="28"/>
        </w:rPr>
        <w:t>（七）培育壮大一批专业市场</w:t>
      </w:r>
      <w:r>
        <w:rPr>
          <w:color w:val="000000"/>
          <w:sz w:val="28"/>
          <w:szCs w:val="28"/>
        </w:rPr>
        <w:tab/>
      </w:r>
      <w:r>
        <w:rPr>
          <w:color w:val="000000"/>
          <w:sz w:val="28"/>
          <w:szCs w:val="28"/>
        </w:rPr>
        <w:fldChar w:fldCharType="begin"/>
      </w:r>
      <w:r>
        <w:rPr>
          <w:color w:val="000000"/>
          <w:sz w:val="28"/>
          <w:szCs w:val="28"/>
        </w:rPr>
        <w:instrText xml:space="preserve"> PAGEREF _Toc21777 \h </w:instrText>
      </w:r>
      <w:r>
        <w:rPr>
          <w:color w:val="000000"/>
          <w:sz w:val="28"/>
          <w:szCs w:val="28"/>
        </w:rPr>
        <w:fldChar w:fldCharType="separate"/>
      </w:r>
      <w:r>
        <w:rPr>
          <w:color w:val="000000"/>
          <w:sz w:val="28"/>
          <w:szCs w:val="28"/>
        </w:rPr>
        <w:t>35</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_Toc10793 </w:instrText>
      </w:r>
      <w:r>
        <w:rPr>
          <w:rFonts w:eastAsia="方正楷体_GBK"/>
          <w:color w:val="000000"/>
          <w:sz w:val="28"/>
          <w:szCs w:val="28"/>
        </w:rPr>
        <w:fldChar w:fldCharType="separate"/>
      </w:r>
      <w:r>
        <w:rPr>
          <w:rFonts w:eastAsia="方正楷体_GBK"/>
          <w:color w:val="000000"/>
          <w:sz w:val="28"/>
          <w:szCs w:val="28"/>
        </w:rPr>
        <w:t>（八）加快完善乡镇商业体系</w:t>
      </w:r>
      <w:r>
        <w:rPr>
          <w:color w:val="000000"/>
          <w:sz w:val="28"/>
          <w:szCs w:val="28"/>
        </w:rPr>
        <w:tab/>
      </w:r>
      <w:r>
        <w:rPr>
          <w:color w:val="000000"/>
          <w:sz w:val="28"/>
          <w:szCs w:val="28"/>
        </w:rPr>
        <w:fldChar w:fldCharType="begin"/>
      </w:r>
      <w:r>
        <w:rPr>
          <w:color w:val="000000"/>
          <w:sz w:val="28"/>
          <w:szCs w:val="28"/>
        </w:rPr>
        <w:instrText xml:space="preserve"> PAGEREF _Toc10793 \h </w:instrText>
      </w:r>
      <w:r>
        <w:rPr>
          <w:color w:val="000000"/>
          <w:sz w:val="28"/>
          <w:szCs w:val="28"/>
        </w:rPr>
        <w:fldChar w:fldCharType="separate"/>
      </w:r>
      <w:r>
        <w:rPr>
          <w:color w:val="000000"/>
          <w:sz w:val="28"/>
          <w:szCs w:val="28"/>
        </w:rPr>
        <w:t>37</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_Toc3131 </w:instrText>
      </w:r>
      <w:r>
        <w:rPr>
          <w:rFonts w:eastAsia="方正楷体_GBK"/>
          <w:color w:val="000000"/>
          <w:sz w:val="28"/>
          <w:szCs w:val="28"/>
        </w:rPr>
        <w:fldChar w:fldCharType="separate"/>
      </w:r>
      <w:r>
        <w:rPr>
          <w:rFonts w:eastAsia="方正黑体_GBK"/>
          <w:color w:val="000000"/>
          <w:sz w:val="28"/>
          <w:szCs w:val="28"/>
        </w:rPr>
        <w:t>六、大力推进对外开放，打造武陵山区对外开放高地</w:t>
      </w:r>
      <w:r>
        <w:rPr>
          <w:color w:val="000000"/>
          <w:sz w:val="28"/>
          <w:szCs w:val="28"/>
        </w:rPr>
        <w:tab/>
      </w:r>
      <w:r>
        <w:rPr>
          <w:color w:val="000000"/>
          <w:sz w:val="28"/>
          <w:szCs w:val="28"/>
        </w:rPr>
        <w:fldChar w:fldCharType="begin"/>
      </w:r>
      <w:r>
        <w:rPr>
          <w:color w:val="000000"/>
          <w:sz w:val="28"/>
          <w:szCs w:val="28"/>
        </w:rPr>
        <w:instrText xml:space="preserve"> PAGEREF _Toc3131 \h </w:instrText>
      </w:r>
      <w:r>
        <w:rPr>
          <w:color w:val="000000"/>
          <w:sz w:val="28"/>
          <w:szCs w:val="28"/>
        </w:rPr>
        <w:fldChar w:fldCharType="separate"/>
      </w:r>
      <w:r>
        <w:rPr>
          <w:color w:val="000000"/>
          <w:sz w:val="28"/>
          <w:szCs w:val="28"/>
        </w:rPr>
        <w:t>39</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_Toc3369 </w:instrText>
      </w:r>
      <w:r>
        <w:rPr>
          <w:rFonts w:eastAsia="方正楷体_GBK"/>
          <w:color w:val="000000"/>
          <w:sz w:val="28"/>
          <w:szCs w:val="28"/>
        </w:rPr>
        <w:fldChar w:fldCharType="separate"/>
      </w:r>
      <w:r>
        <w:rPr>
          <w:rFonts w:eastAsia="方正楷体_GBK"/>
          <w:color w:val="000000"/>
          <w:sz w:val="28"/>
          <w:szCs w:val="28"/>
        </w:rPr>
        <w:t>（一）推进开放通道建设</w:t>
      </w:r>
      <w:r>
        <w:rPr>
          <w:color w:val="000000"/>
          <w:sz w:val="28"/>
          <w:szCs w:val="28"/>
        </w:rPr>
        <w:tab/>
      </w:r>
      <w:r>
        <w:rPr>
          <w:color w:val="000000"/>
          <w:sz w:val="28"/>
          <w:szCs w:val="28"/>
        </w:rPr>
        <w:fldChar w:fldCharType="begin"/>
      </w:r>
      <w:r>
        <w:rPr>
          <w:color w:val="000000"/>
          <w:sz w:val="28"/>
          <w:szCs w:val="28"/>
        </w:rPr>
        <w:instrText xml:space="preserve"> PAGEREF _Toc3369 \h </w:instrText>
      </w:r>
      <w:r>
        <w:rPr>
          <w:color w:val="000000"/>
          <w:sz w:val="28"/>
          <w:szCs w:val="28"/>
        </w:rPr>
        <w:fldChar w:fldCharType="separate"/>
      </w:r>
      <w:r>
        <w:rPr>
          <w:color w:val="000000"/>
          <w:sz w:val="28"/>
          <w:szCs w:val="28"/>
        </w:rPr>
        <w:t>39</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_Toc29537 </w:instrText>
      </w:r>
      <w:r>
        <w:rPr>
          <w:rFonts w:eastAsia="方正楷体_GBK"/>
          <w:color w:val="000000"/>
          <w:sz w:val="28"/>
          <w:szCs w:val="28"/>
        </w:rPr>
        <w:fldChar w:fldCharType="separate"/>
      </w:r>
      <w:r>
        <w:rPr>
          <w:rFonts w:eastAsia="方正楷体_GBK"/>
          <w:color w:val="000000"/>
          <w:sz w:val="28"/>
          <w:szCs w:val="28"/>
        </w:rPr>
        <w:t>（二）积极构建开放平台</w:t>
      </w:r>
      <w:r>
        <w:rPr>
          <w:color w:val="000000"/>
          <w:sz w:val="28"/>
          <w:szCs w:val="28"/>
        </w:rPr>
        <w:tab/>
      </w:r>
      <w:r>
        <w:rPr>
          <w:color w:val="000000"/>
          <w:sz w:val="28"/>
          <w:szCs w:val="28"/>
        </w:rPr>
        <w:fldChar w:fldCharType="begin"/>
      </w:r>
      <w:r>
        <w:rPr>
          <w:color w:val="000000"/>
          <w:sz w:val="28"/>
          <w:szCs w:val="28"/>
        </w:rPr>
        <w:instrText xml:space="preserve"> PAGEREF _Toc29537 \h </w:instrText>
      </w:r>
      <w:r>
        <w:rPr>
          <w:color w:val="000000"/>
          <w:sz w:val="28"/>
          <w:szCs w:val="28"/>
        </w:rPr>
        <w:fldChar w:fldCharType="separate"/>
      </w:r>
      <w:r>
        <w:rPr>
          <w:color w:val="000000"/>
          <w:sz w:val="28"/>
          <w:szCs w:val="28"/>
        </w:rPr>
        <w:t>40</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_Toc10851 </w:instrText>
      </w:r>
      <w:r>
        <w:rPr>
          <w:rFonts w:eastAsia="方正楷体_GBK"/>
          <w:color w:val="000000"/>
          <w:sz w:val="28"/>
          <w:szCs w:val="28"/>
        </w:rPr>
        <w:fldChar w:fldCharType="separate"/>
      </w:r>
      <w:r>
        <w:rPr>
          <w:rFonts w:eastAsia="方正楷体_GBK"/>
          <w:color w:val="000000"/>
          <w:sz w:val="28"/>
          <w:szCs w:val="28"/>
        </w:rPr>
        <w:t>（三）大力发展开放型经济</w:t>
      </w:r>
      <w:r>
        <w:rPr>
          <w:color w:val="000000"/>
          <w:sz w:val="28"/>
          <w:szCs w:val="28"/>
        </w:rPr>
        <w:tab/>
      </w:r>
      <w:r>
        <w:rPr>
          <w:color w:val="000000"/>
          <w:sz w:val="28"/>
          <w:szCs w:val="28"/>
        </w:rPr>
        <w:fldChar w:fldCharType="begin"/>
      </w:r>
      <w:r>
        <w:rPr>
          <w:color w:val="000000"/>
          <w:sz w:val="28"/>
          <w:szCs w:val="28"/>
        </w:rPr>
        <w:instrText xml:space="preserve"> PAGEREF _Toc10851 \h </w:instrText>
      </w:r>
      <w:r>
        <w:rPr>
          <w:color w:val="000000"/>
          <w:sz w:val="28"/>
          <w:szCs w:val="28"/>
        </w:rPr>
        <w:fldChar w:fldCharType="separate"/>
      </w:r>
      <w:r>
        <w:rPr>
          <w:color w:val="000000"/>
          <w:sz w:val="28"/>
          <w:szCs w:val="28"/>
        </w:rPr>
        <w:t>42</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_Toc6730 </w:instrText>
      </w:r>
      <w:r>
        <w:rPr>
          <w:rFonts w:eastAsia="方正楷体_GBK"/>
          <w:color w:val="000000"/>
          <w:sz w:val="28"/>
          <w:szCs w:val="28"/>
        </w:rPr>
        <w:fldChar w:fldCharType="separate"/>
      </w:r>
      <w:r>
        <w:rPr>
          <w:rFonts w:eastAsia="方正楷体_GBK"/>
          <w:color w:val="000000"/>
          <w:sz w:val="28"/>
          <w:szCs w:val="28"/>
        </w:rPr>
        <w:t>（四）优化开放发展环境</w:t>
      </w:r>
      <w:r>
        <w:rPr>
          <w:color w:val="000000"/>
          <w:sz w:val="28"/>
          <w:szCs w:val="28"/>
        </w:rPr>
        <w:tab/>
      </w:r>
      <w:r>
        <w:rPr>
          <w:color w:val="000000"/>
          <w:sz w:val="28"/>
          <w:szCs w:val="28"/>
        </w:rPr>
        <w:fldChar w:fldCharType="begin"/>
      </w:r>
      <w:r>
        <w:rPr>
          <w:color w:val="000000"/>
          <w:sz w:val="28"/>
          <w:szCs w:val="28"/>
        </w:rPr>
        <w:instrText xml:space="preserve"> PAGEREF _Toc6730 \h </w:instrText>
      </w:r>
      <w:r>
        <w:rPr>
          <w:color w:val="000000"/>
          <w:sz w:val="28"/>
          <w:szCs w:val="28"/>
        </w:rPr>
        <w:fldChar w:fldCharType="separate"/>
      </w:r>
      <w:r>
        <w:rPr>
          <w:color w:val="000000"/>
          <w:sz w:val="28"/>
          <w:szCs w:val="28"/>
        </w:rPr>
        <w:t>43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_Toc22014 </w:instrText>
      </w:r>
      <w:r>
        <w:rPr>
          <w:rFonts w:eastAsia="方正楷体_GBK"/>
          <w:color w:val="000000"/>
          <w:sz w:val="28"/>
          <w:szCs w:val="28"/>
        </w:rPr>
        <w:fldChar w:fldCharType="separate"/>
      </w:r>
      <w:r>
        <w:rPr>
          <w:rFonts w:eastAsia="方正楷体_GBK"/>
          <w:color w:val="000000"/>
          <w:sz w:val="28"/>
          <w:szCs w:val="28"/>
        </w:rPr>
        <w:t>（五）强化区域协同合作</w:t>
      </w:r>
      <w:r>
        <w:rPr>
          <w:color w:val="000000"/>
          <w:sz w:val="28"/>
          <w:szCs w:val="28"/>
        </w:rPr>
        <w:tab/>
      </w:r>
      <w:r>
        <w:rPr>
          <w:color w:val="000000"/>
          <w:sz w:val="28"/>
          <w:szCs w:val="28"/>
        </w:rPr>
        <w:fldChar w:fldCharType="begin"/>
      </w:r>
      <w:r>
        <w:rPr>
          <w:color w:val="000000"/>
          <w:sz w:val="28"/>
          <w:szCs w:val="28"/>
        </w:rPr>
        <w:instrText xml:space="preserve"> PAGEREF _Toc22014 \h </w:instrText>
      </w:r>
      <w:r>
        <w:rPr>
          <w:color w:val="000000"/>
          <w:sz w:val="28"/>
          <w:szCs w:val="28"/>
        </w:rPr>
        <w:fldChar w:fldCharType="separate"/>
      </w:r>
      <w:r>
        <w:rPr>
          <w:color w:val="000000"/>
          <w:sz w:val="28"/>
          <w:szCs w:val="28"/>
        </w:rPr>
        <w:t>44</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_Toc25109 </w:instrText>
      </w:r>
      <w:r>
        <w:rPr>
          <w:rFonts w:eastAsia="方正楷体_GBK"/>
          <w:color w:val="000000"/>
          <w:sz w:val="28"/>
          <w:szCs w:val="28"/>
        </w:rPr>
        <w:fldChar w:fldCharType="separate"/>
      </w:r>
      <w:r>
        <w:rPr>
          <w:rFonts w:eastAsia="方正黑体_GBK"/>
          <w:color w:val="000000"/>
          <w:sz w:val="28"/>
          <w:szCs w:val="28"/>
        </w:rPr>
        <w:t>七、加快现代物流体系建设，打造区域物流集散中心</w:t>
      </w:r>
      <w:r>
        <w:rPr>
          <w:color w:val="000000"/>
          <w:sz w:val="28"/>
          <w:szCs w:val="28"/>
        </w:rPr>
        <w:tab/>
      </w:r>
      <w:r>
        <w:rPr>
          <w:color w:val="000000"/>
          <w:sz w:val="28"/>
          <w:szCs w:val="28"/>
        </w:rPr>
        <w:fldChar w:fldCharType="begin"/>
      </w:r>
      <w:r>
        <w:rPr>
          <w:color w:val="000000"/>
          <w:sz w:val="28"/>
          <w:szCs w:val="28"/>
        </w:rPr>
        <w:instrText xml:space="preserve"> PAGEREF _Toc25109 \h </w:instrText>
      </w:r>
      <w:r>
        <w:rPr>
          <w:color w:val="000000"/>
          <w:sz w:val="28"/>
          <w:szCs w:val="28"/>
        </w:rPr>
        <w:fldChar w:fldCharType="separate"/>
      </w:r>
      <w:r>
        <w:rPr>
          <w:color w:val="000000"/>
          <w:sz w:val="28"/>
          <w:szCs w:val="28"/>
        </w:rPr>
        <w:t>46</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_Toc7142 </w:instrText>
      </w:r>
      <w:r>
        <w:rPr>
          <w:rFonts w:eastAsia="方正楷体_GBK"/>
          <w:color w:val="000000"/>
          <w:sz w:val="28"/>
          <w:szCs w:val="28"/>
        </w:rPr>
        <w:fldChar w:fldCharType="separate"/>
      </w:r>
      <w:r>
        <w:rPr>
          <w:rFonts w:eastAsia="方正楷体_GBK"/>
          <w:color w:val="000000"/>
          <w:sz w:val="28"/>
          <w:szCs w:val="28"/>
        </w:rPr>
        <w:t>（一）加快打造区域物流集散中心</w:t>
      </w:r>
      <w:r>
        <w:rPr>
          <w:color w:val="000000"/>
          <w:sz w:val="28"/>
          <w:szCs w:val="28"/>
        </w:rPr>
        <w:tab/>
      </w:r>
      <w:r>
        <w:rPr>
          <w:color w:val="000000"/>
          <w:sz w:val="28"/>
          <w:szCs w:val="28"/>
        </w:rPr>
        <w:fldChar w:fldCharType="begin"/>
      </w:r>
      <w:r>
        <w:rPr>
          <w:color w:val="000000"/>
          <w:sz w:val="28"/>
          <w:szCs w:val="28"/>
        </w:rPr>
        <w:instrText xml:space="preserve"> PAGEREF _Toc7142 \h </w:instrText>
      </w:r>
      <w:r>
        <w:rPr>
          <w:color w:val="000000"/>
          <w:sz w:val="28"/>
          <w:szCs w:val="28"/>
        </w:rPr>
        <w:fldChar w:fldCharType="separate"/>
      </w:r>
      <w:r>
        <w:rPr>
          <w:color w:val="000000"/>
          <w:sz w:val="28"/>
          <w:szCs w:val="28"/>
        </w:rPr>
        <w:t>46</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_Toc16672 </w:instrText>
      </w:r>
      <w:r>
        <w:rPr>
          <w:rFonts w:eastAsia="方正楷体_GBK"/>
          <w:color w:val="000000"/>
          <w:sz w:val="28"/>
          <w:szCs w:val="28"/>
        </w:rPr>
        <w:fldChar w:fldCharType="separate"/>
      </w:r>
      <w:r>
        <w:rPr>
          <w:rFonts w:eastAsia="方正楷体_GBK"/>
          <w:color w:val="000000"/>
          <w:sz w:val="28"/>
          <w:szCs w:val="28"/>
        </w:rPr>
        <w:t>（二）完善城乡物流配送网络</w:t>
      </w:r>
      <w:r>
        <w:rPr>
          <w:color w:val="000000"/>
          <w:sz w:val="28"/>
          <w:szCs w:val="28"/>
        </w:rPr>
        <w:tab/>
      </w:r>
      <w:r>
        <w:rPr>
          <w:color w:val="000000"/>
          <w:sz w:val="28"/>
          <w:szCs w:val="28"/>
        </w:rPr>
        <w:fldChar w:fldCharType="begin"/>
      </w:r>
      <w:r>
        <w:rPr>
          <w:color w:val="000000"/>
          <w:sz w:val="28"/>
          <w:szCs w:val="28"/>
        </w:rPr>
        <w:instrText xml:space="preserve"> PAGEREF _Toc16672 \h </w:instrText>
      </w:r>
      <w:r>
        <w:rPr>
          <w:color w:val="000000"/>
          <w:sz w:val="28"/>
          <w:szCs w:val="28"/>
        </w:rPr>
        <w:fldChar w:fldCharType="separate"/>
      </w:r>
      <w:r>
        <w:rPr>
          <w:color w:val="000000"/>
          <w:sz w:val="28"/>
          <w:szCs w:val="28"/>
        </w:rPr>
        <w:t>47</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_Toc21148 </w:instrText>
      </w:r>
      <w:r>
        <w:rPr>
          <w:rFonts w:eastAsia="方正楷体_GBK"/>
          <w:color w:val="000000"/>
          <w:sz w:val="28"/>
          <w:szCs w:val="28"/>
        </w:rPr>
        <w:fldChar w:fldCharType="separate"/>
      </w:r>
      <w:r>
        <w:rPr>
          <w:rFonts w:eastAsia="方正楷体_GBK"/>
          <w:color w:val="000000"/>
          <w:sz w:val="28"/>
          <w:szCs w:val="28"/>
        </w:rPr>
        <w:t>（三）推进冷链物流体系建设</w:t>
      </w:r>
      <w:r>
        <w:rPr>
          <w:color w:val="000000"/>
          <w:sz w:val="28"/>
          <w:szCs w:val="28"/>
        </w:rPr>
        <w:tab/>
      </w:r>
      <w:r>
        <w:rPr>
          <w:color w:val="000000"/>
          <w:sz w:val="28"/>
          <w:szCs w:val="28"/>
        </w:rPr>
        <w:fldChar w:fldCharType="begin"/>
      </w:r>
      <w:r>
        <w:rPr>
          <w:color w:val="000000"/>
          <w:sz w:val="28"/>
          <w:szCs w:val="28"/>
        </w:rPr>
        <w:instrText xml:space="preserve"> PAGEREF _Toc21148 \h </w:instrText>
      </w:r>
      <w:r>
        <w:rPr>
          <w:color w:val="000000"/>
          <w:sz w:val="28"/>
          <w:szCs w:val="28"/>
        </w:rPr>
        <w:fldChar w:fldCharType="separate"/>
      </w:r>
      <w:r>
        <w:rPr>
          <w:color w:val="000000"/>
          <w:sz w:val="28"/>
          <w:szCs w:val="28"/>
        </w:rPr>
        <w:t>47</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_Toc28442 </w:instrText>
      </w:r>
      <w:r>
        <w:rPr>
          <w:rFonts w:eastAsia="方正楷体_GBK"/>
          <w:color w:val="000000"/>
          <w:sz w:val="28"/>
          <w:szCs w:val="28"/>
        </w:rPr>
        <w:fldChar w:fldCharType="separate"/>
      </w:r>
      <w:r>
        <w:rPr>
          <w:rFonts w:eastAsia="方正楷体_GBK"/>
          <w:color w:val="000000"/>
          <w:sz w:val="28"/>
          <w:szCs w:val="28"/>
        </w:rPr>
        <w:t>（四）构建供应链物流体系</w:t>
      </w:r>
      <w:r>
        <w:rPr>
          <w:color w:val="000000"/>
          <w:sz w:val="28"/>
          <w:szCs w:val="28"/>
        </w:rPr>
        <w:tab/>
      </w:r>
      <w:r>
        <w:rPr>
          <w:color w:val="000000"/>
          <w:sz w:val="28"/>
          <w:szCs w:val="28"/>
        </w:rPr>
        <w:fldChar w:fldCharType="begin"/>
      </w:r>
      <w:r>
        <w:rPr>
          <w:color w:val="000000"/>
          <w:sz w:val="28"/>
          <w:szCs w:val="28"/>
        </w:rPr>
        <w:instrText xml:space="preserve"> PAGEREF _Toc28442 \h </w:instrText>
      </w:r>
      <w:r>
        <w:rPr>
          <w:color w:val="000000"/>
          <w:sz w:val="28"/>
          <w:szCs w:val="28"/>
        </w:rPr>
        <w:fldChar w:fldCharType="separate"/>
      </w:r>
      <w:r>
        <w:rPr>
          <w:color w:val="000000"/>
          <w:sz w:val="28"/>
          <w:szCs w:val="28"/>
        </w:rPr>
        <w:t>48</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_Toc27007 </w:instrText>
      </w:r>
      <w:r>
        <w:rPr>
          <w:rFonts w:eastAsia="方正楷体_GBK"/>
          <w:color w:val="000000"/>
          <w:sz w:val="28"/>
          <w:szCs w:val="28"/>
        </w:rPr>
        <w:fldChar w:fldCharType="separate"/>
      </w:r>
      <w:r>
        <w:rPr>
          <w:rFonts w:eastAsia="方正楷体_GBK"/>
          <w:color w:val="000000"/>
          <w:sz w:val="28"/>
          <w:szCs w:val="28"/>
        </w:rPr>
        <w:t>（五）大力发展智慧物流</w:t>
      </w:r>
      <w:r>
        <w:rPr>
          <w:color w:val="000000"/>
          <w:sz w:val="28"/>
          <w:szCs w:val="28"/>
        </w:rPr>
        <w:tab/>
      </w:r>
      <w:r>
        <w:rPr>
          <w:color w:val="000000"/>
          <w:sz w:val="28"/>
          <w:szCs w:val="28"/>
        </w:rPr>
        <w:fldChar w:fldCharType="begin"/>
      </w:r>
      <w:r>
        <w:rPr>
          <w:color w:val="000000"/>
          <w:sz w:val="28"/>
          <w:szCs w:val="28"/>
        </w:rPr>
        <w:instrText xml:space="preserve"> PAGEREF _Toc27007 \h </w:instrText>
      </w:r>
      <w:r>
        <w:rPr>
          <w:color w:val="000000"/>
          <w:sz w:val="28"/>
          <w:szCs w:val="28"/>
        </w:rPr>
        <w:fldChar w:fldCharType="separate"/>
      </w:r>
      <w:r>
        <w:rPr>
          <w:color w:val="000000"/>
          <w:sz w:val="28"/>
          <w:szCs w:val="28"/>
        </w:rPr>
        <w:t>49</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_Toc681 </w:instrText>
      </w:r>
      <w:r>
        <w:rPr>
          <w:rFonts w:eastAsia="方正楷体_GBK"/>
          <w:color w:val="000000"/>
          <w:sz w:val="28"/>
          <w:szCs w:val="28"/>
        </w:rPr>
        <w:fldChar w:fldCharType="separate"/>
      </w:r>
      <w:r>
        <w:rPr>
          <w:rFonts w:eastAsia="方正楷体_GBK"/>
          <w:color w:val="000000"/>
          <w:sz w:val="28"/>
          <w:szCs w:val="28"/>
        </w:rPr>
        <w:t>（六）积极发展绿色物流</w:t>
      </w:r>
      <w:r>
        <w:rPr>
          <w:color w:val="000000"/>
          <w:sz w:val="28"/>
          <w:szCs w:val="28"/>
        </w:rPr>
        <w:tab/>
      </w:r>
      <w:r>
        <w:rPr>
          <w:color w:val="000000"/>
          <w:sz w:val="28"/>
          <w:szCs w:val="28"/>
        </w:rPr>
        <w:fldChar w:fldCharType="begin"/>
      </w:r>
      <w:r>
        <w:rPr>
          <w:color w:val="000000"/>
          <w:sz w:val="28"/>
          <w:szCs w:val="28"/>
        </w:rPr>
        <w:instrText xml:space="preserve"> PAGEREF _Toc681 \h </w:instrText>
      </w:r>
      <w:r>
        <w:rPr>
          <w:color w:val="000000"/>
          <w:sz w:val="28"/>
          <w:szCs w:val="28"/>
        </w:rPr>
        <w:fldChar w:fldCharType="separate"/>
      </w:r>
      <w:r>
        <w:rPr>
          <w:color w:val="000000"/>
          <w:sz w:val="28"/>
          <w:szCs w:val="28"/>
        </w:rPr>
        <w:t>49</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_Toc30290 </w:instrText>
      </w:r>
      <w:r>
        <w:rPr>
          <w:rFonts w:eastAsia="方正楷体_GBK"/>
          <w:color w:val="000000"/>
          <w:sz w:val="28"/>
          <w:szCs w:val="28"/>
        </w:rPr>
        <w:fldChar w:fldCharType="separate"/>
      </w:r>
      <w:r>
        <w:rPr>
          <w:rFonts w:eastAsia="方正黑体_GBK"/>
          <w:color w:val="000000"/>
          <w:sz w:val="28"/>
          <w:szCs w:val="28"/>
        </w:rPr>
        <w:t>八、加快推进电子商务发展，建设全国电子商务强区</w:t>
      </w:r>
      <w:r>
        <w:rPr>
          <w:color w:val="000000"/>
          <w:sz w:val="28"/>
          <w:szCs w:val="28"/>
        </w:rPr>
        <w:tab/>
      </w:r>
      <w:r>
        <w:rPr>
          <w:color w:val="000000"/>
          <w:sz w:val="28"/>
          <w:szCs w:val="28"/>
        </w:rPr>
        <w:fldChar w:fldCharType="begin"/>
      </w:r>
      <w:r>
        <w:rPr>
          <w:color w:val="000000"/>
          <w:sz w:val="28"/>
          <w:szCs w:val="28"/>
        </w:rPr>
        <w:instrText xml:space="preserve"> PAGEREF _Toc30290 \h </w:instrText>
      </w:r>
      <w:r>
        <w:rPr>
          <w:color w:val="000000"/>
          <w:sz w:val="28"/>
          <w:szCs w:val="28"/>
        </w:rPr>
        <w:fldChar w:fldCharType="separate"/>
      </w:r>
      <w:r>
        <w:rPr>
          <w:color w:val="000000"/>
          <w:sz w:val="28"/>
          <w:szCs w:val="28"/>
        </w:rPr>
        <w:t>51</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_Toc5457 </w:instrText>
      </w:r>
      <w:r>
        <w:rPr>
          <w:rFonts w:eastAsia="方正楷体_GBK"/>
          <w:color w:val="000000"/>
          <w:sz w:val="28"/>
          <w:szCs w:val="28"/>
        </w:rPr>
        <w:fldChar w:fldCharType="separate"/>
      </w:r>
      <w:r>
        <w:rPr>
          <w:rFonts w:eastAsia="方正楷体_GBK"/>
          <w:color w:val="000000"/>
          <w:sz w:val="28"/>
          <w:szCs w:val="28"/>
        </w:rPr>
        <w:t>（一）推进电子商务加快发展</w:t>
      </w:r>
      <w:r>
        <w:rPr>
          <w:color w:val="000000"/>
          <w:sz w:val="28"/>
          <w:szCs w:val="28"/>
        </w:rPr>
        <w:tab/>
      </w:r>
      <w:r>
        <w:rPr>
          <w:color w:val="000000"/>
          <w:sz w:val="28"/>
          <w:szCs w:val="28"/>
        </w:rPr>
        <w:fldChar w:fldCharType="begin"/>
      </w:r>
      <w:r>
        <w:rPr>
          <w:color w:val="000000"/>
          <w:sz w:val="28"/>
          <w:szCs w:val="28"/>
        </w:rPr>
        <w:instrText xml:space="preserve"> PAGEREF _Toc5457 \h </w:instrText>
      </w:r>
      <w:r>
        <w:rPr>
          <w:color w:val="000000"/>
          <w:sz w:val="28"/>
          <w:szCs w:val="28"/>
        </w:rPr>
        <w:fldChar w:fldCharType="separate"/>
      </w:r>
      <w:r>
        <w:rPr>
          <w:color w:val="000000"/>
          <w:sz w:val="28"/>
          <w:szCs w:val="28"/>
        </w:rPr>
        <w:t>51</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_Toc25618 </w:instrText>
      </w:r>
      <w:r>
        <w:rPr>
          <w:rFonts w:eastAsia="方正楷体_GBK"/>
          <w:color w:val="000000"/>
          <w:sz w:val="28"/>
          <w:szCs w:val="28"/>
        </w:rPr>
        <w:fldChar w:fldCharType="separate"/>
      </w:r>
      <w:r>
        <w:rPr>
          <w:rFonts w:eastAsia="方正楷体_GBK"/>
          <w:color w:val="000000"/>
          <w:sz w:val="28"/>
          <w:szCs w:val="28"/>
        </w:rPr>
        <w:t>（二）打造农村电商“升级版”</w:t>
      </w:r>
      <w:r>
        <w:rPr>
          <w:color w:val="000000"/>
          <w:sz w:val="28"/>
          <w:szCs w:val="28"/>
        </w:rPr>
        <w:tab/>
      </w:r>
      <w:r>
        <w:rPr>
          <w:color w:val="000000"/>
          <w:sz w:val="28"/>
          <w:szCs w:val="28"/>
        </w:rPr>
        <w:fldChar w:fldCharType="begin"/>
      </w:r>
      <w:r>
        <w:rPr>
          <w:color w:val="000000"/>
          <w:sz w:val="28"/>
          <w:szCs w:val="28"/>
        </w:rPr>
        <w:instrText xml:space="preserve"> PAGEREF _Toc25618 \h </w:instrText>
      </w:r>
      <w:r>
        <w:rPr>
          <w:color w:val="000000"/>
          <w:sz w:val="28"/>
          <w:szCs w:val="28"/>
        </w:rPr>
        <w:fldChar w:fldCharType="separate"/>
      </w:r>
      <w:r>
        <w:rPr>
          <w:color w:val="000000"/>
          <w:sz w:val="28"/>
          <w:szCs w:val="28"/>
        </w:rPr>
        <w:t>53</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_Toc26495 </w:instrText>
      </w:r>
      <w:r>
        <w:rPr>
          <w:rFonts w:eastAsia="方正楷体_GBK"/>
          <w:color w:val="000000"/>
          <w:sz w:val="28"/>
          <w:szCs w:val="28"/>
        </w:rPr>
        <w:fldChar w:fldCharType="separate"/>
      </w:r>
      <w:r>
        <w:rPr>
          <w:rFonts w:eastAsia="方正楷体_GBK"/>
          <w:color w:val="000000"/>
          <w:sz w:val="28"/>
          <w:szCs w:val="28"/>
        </w:rPr>
        <w:t>（三）大力发展跨境电子商务</w:t>
      </w:r>
      <w:r>
        <w:rPr>
          <w:color w:val="000000"/>
          <w:sz w:val="28"/>
          <w:szCs w:val="28"/>
        </w:rPr>
        <w:tab/>
      </w:r>
      <w:r>
        <w:rPr>
          <w:color w:val="000000"/>
          <w:sz w:val="28"/>
          <w:szCs w:val="28"/>
        </w:rPr>
        <w:fldChar w:fldCharType="begin"/>
      </w:r>
      <w:r>
        <w:rPr>
          <w:color w:val="000000"/>
          <w:sz w:val="28"/>
          <w:szCs w:val="28"/>
        </w:rPr>
        <w:instrText xml:space="preserve"> PAGEREF _Toc26495 \h </w:instrText>
      </w:r>
      <w:r>
        <w:rPr>
          <w:color w:val="000000"/>
          <w:sz w:val="28"/>
          <w:szCs w:val="28"/>
        </w:rPr>
        <w:fldChar w:fldCharType="separate"/>
      </w:r>
      <w:r>
        <w:rPr>
          <w:color w:val="000000"/>
          <w:sz w:val="28"/>
          <w:szCs w:val="28"/>
        </w:rPr>
        <w:t>55</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_Toc30041 </w:instrText>
      </w:r>
      <w:r>
        <w:rPr>
          <w:rFonts w:eastAsia="方正楷体_GBK"/>
          <w:color w:val="000000"/>
          <w:sz w:val="28"/>
          <w:szCs w:val="28"/>
        </w:rPr>
        <w:fldChar w:fldCharType="separate"/>
      </w:r>
      <w:r>
        <w:rPr>
          <w:rFonts w:eastAsia="方正楷体_GBK"/>
          <w:color w:val="000000"/>
          <w:sz w:val="28"/>
          <w:szCs w:val="28"/>
        </w:rPr>
        <w:t>（四）推动电商创新融合发展</w:t>
      </w:r>
      <w:r>
        <w:rPr>
          <w:color w:val="000000"/>
          <w:sz w:val="28"/>
          <w:szCs w:val="28"/>
        </w:rPr>
        <w:tab/>
      </w:r>
      <w:r>
        <w:rPr>
          <w:color w:val="000000"/>
          <w:sz w:val="28"/>
          <w:szCs w:val="28"/>
        </w:rPr>
        <w:fldChar w:fldCharType="begin"/>
      </w:r>
      <w:r>
        <w:rPr>
          <w:color w:val="000000"/>
          <w:sz w:val="28"/>
          <w:szCs w:val="28"/>
        </w:rPr>
        <w:instrText xml:space="preserve"> PAGEREF _Toc30041 \h </w:instrText>
      </w:r>
      <w:r>
        <w:rPr>
          <w:color w:val="000000"/>
          <w:sz w:val="28"/>
          <w:szCs w:val="28"/>
        </w:rPr>
        <w:fldChar w:fldCharType="separate"/>
      </w:r>
      <w:r>
        <w:rPr>
          <w:color w:val="000000"/>
          <w:sz w:val="28"/>
          <w:szCs w:val="28"/>
        </w:rPr>
        <w:t>56</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_Toc3546 </w:instrText>
      </w:r>
      <w:r>
        <w:rPr>
          <w:rFonts w:eastAsia="方正楷体_GBK"/>
          <w:color w:val="000000"/>
          <w:sz w:val="28"/>
          <w:szCs w:val="28"/>
        </w:rPr>
        <w:fldChar w:fldCharType="separate"/>
      </w:r>
      <w:r>
        <w:rPr>
          <w:rFonts w:eastAsia="方正黑体_GBK"/>
          <w:color w:val="000000"/>
          <w:sz w:val="28"/>
          <w:szCs w:val="28"/>
        </w:rPr>
        <w:t>九、加快应急保障体系建设，建设武陵山区应急保障基地</w:t>
      </w:r>
      <w:r>
        <w:rPr>
          <w:color w:val="000000"/>
          <w:sz w:val="28"/>
          <w:szCs w:val="28"/>
        </w:rPr>
        <w:tab/>
      </w:r>
      <w:r>
        <w:rPr>
          <w:color w:val="000000"/>
          <w:sz w:val="28"/>
          <w:szCs w:val="28"/>
        </w:rPr>
        <w:fldChar w:fldCharType="begin"/>
      </w:r>
      <w:r>
        <w:rPr>
          <w:color w:val="000000"/>
          <w:sz w:val="28"/>
          <w:szCs w:val="28"/>
        </w:rPr>
        <w:instrText xml:space="preserve"> PAGEREF _Toc3546 \h </w:instrText>
      </w:r>
      <w:r>
        <w:rPr>
          <w:color w:val="000000"/>
          <w:sz w:val="28"/>
          <w:szCs w:val="28"/>
        </w:rPr>
        <w:fldChar w:fldCharType="separate"/>
      </w:r>
      <w:r>
        <w:rPr>
          <w:color w:val="000000"/>
          <w:sz w:val="28"/>
          <w:szCs w:val="28"/>
        </w:rPr>
        <w:t>58</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_Toc7895 </w:instrText>
      </w:r>
      <w:r>
        <w:rPr>
          <w:rFonts w:eastAsia="方正楷体_GBK"/>
          <w:color w:val="000000"/>
          <w:sz w:val="28"/>
          <w:szCs w:val="28"/>
        </w:rPr>
        <w:fldChar w:fldCharType="separate"/>
      </w:r>
      <w:r>
        <w:rPr>
          <w:rFonts w:eastAsia="方正楷体_GBK"/>
          <w:color w:val="000000"/>
          <w:sz w:val="28"/>
          <w:szCs w:val="28"/>
        </w:rPr>
        <w:t>（一）加强应急物资储备体系建设</w:t>
      </w:r>
      <w:r>
        <w:rPr>
          <w:color w:val="000000"/>
          <w:sz w:val="28"/>
          <w:szCs w:val="28"/>
        </w:rPr>
        <w:tab/>
      </w:r>
      <w:r>
        <w:rPr>
          <w:color w:val="000000"/>
          <w:sz w:val="28"/>
          <w:szCs w:val="28"/>
        </w:rPr>
        <w:fldChar w:fldCharType="begin"/>
      </w:r>
      <w:r>
        <w:rPr>
          <w:color w:val="000000"/>
          <w:sz w:val="28"/>
          <w:szCs w:val="28"/>
        </w:rPr>
        <w:instrText xml:space="preserve"> PAGEREF _Toc7895 \h </w:instrText>
      </w:r>
      <w:r>
        <w:rPr>
          <w:color w:val="000000"/>
          <w:sz w:val="28"/>
          <w:szCs w:val="28"/>
        </w:rPr>
        <w:fldChar w:fldCharType="separate"/>
      </w:r>
      <w:r>
        <w:rPr>
          <w:color w:val="000000"/>
          <w:sz w:val="28"/>
          <w:szCs w:val="28"/>
        </w:rPr>
        <w:t>58</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_Toc14933 </w:instrText>
      </w:r>
      <w:r>
        <w:rPr>
          <w:rFonts w:eastAsia="方正楷体_GBK"/>
          <w:color w:val="000000"/>
          <w:sz w:val="28"/>
          <w:szCs w:val="28"/>
        </w:rPr>
        <w:fldChar w:fldCharType="separate"/>
      </w:r>
      <w:r>
        <w:rPr>
          <w:rFonts w:eastAsia="方正楷体_GBK"/>
          <w:color w:val="000000"/>
          <w:sz w:val="28"/>
          <w:szCs w:val="28"/>
        </w:rPr>
        <w:t>（二）推进成品油市场体系建设</w:t>
      </w:r>
      <w:r>
        <w:rPr>
          <w:color w:val="000000"/>
          <w:sz w:val="28"/>
          <w:szCs w:val="28"/>
        </w:rPr>
        <w:tab/>
      </w:r>
      <w:r>
        <w:rPr>
          <w:color w:val="000000"/>
          <w:sz w:val="28"/>
          <w:szCs w:val="28"/>
        </w:rPr>
        <w:fldChar w:fldCharType="begin"/>
      </w:r>
      <w:r>
        <w:rPr>
          <w:color w:val="000000"/>
          <w:sz w:val="28"/>
          <w:szCs w:val="28"/>
        </w:rPr>
        <w:instrText xml:space="preserve"> PAGEREF _Toc14933 \h </w:instrText>
      </w:r>
      <w:r>
        <w:rPr>
          <w:color w:val="000000"/>
          <w:sz w:val="28"/>
          <w:szCs w:val="28"/>
        </w:rPr>
        <w:fldChar w:fldCharType="separate"/>
      </w:r>
      <w:r>
        <w:rPr>
          <w:color w:val="000000"/>
          <w:sz w:val="28"/>
          <w:szCs w:val="28"/>
        </w:rPr>
        <w:t>59</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_Toc8879 </w:instrText>
      </w:r>
      <w:r>
        <w:rPr>
          <w:rFonts w:eastAsia="方正楷体_GBK"/>
          <w:color w:val="000000"/>
          <w:sz w:val="28"/>
          <w:szCs w:val="28"/>
        </w:rPr>
        <w:fldChar w:fldCharType="separate"/>
      </w:r>
      <w:r>
        <w:rPr>
          <w:rFonts w:eastAsia="方正黑体_GBK"/>
          <w:color w:val="000000"/>
          <w:sz w:val="28"/>
          <w:szCs w:val="28"/>
        </w:rPr>
        <w:t>十、保障措施</w:t>
      </w:r>
      <w:r>
        <w:rPr>
          <w:color w:val="000000"/>
          <w:sz w:val="28"/>
          <w:szCs w:val="28"/>
        </w:rPr>
        <w:tab/>
      </w:r>
      <w:r>
        <w:rPr>
          <w:color w:val="000000"/>
          <w:sz w:val="28"/>
          <w:szCs w:val="28"/>
        </w:rPr>
        <w:fldChar w:fldCharType="begin"/>
      </w:r>
      <w:r>
        <w:rPr>
          <w:color w:val="000000"/>
          <w:sz w:val="28"/>
          <w:szCs w:val="28"/>
        </w:rPr>
        <w:instrText xml:space="preserve"> PAGEREF _Toc8879 \h </w:instrText>
      </w:r>
      <w:r>
        <w:rPr>
          <w:color w:val="000000"/>
          <w:sz w:val="28"/>
          <w:szCs w:val="28"/>
        </w:rPr>
        <w:fldChar w:fldCharType="separate"/>
      </w:r>
      <w:r>
        <w:rPr>
          <w:color w:val="000000"/>
          <w:sz w:val="28"/>
          <w:szCs w:val="28"/>
        </w:rPr>
        <w:t>61</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_Toc1682 </w:instrText>
      </w:r>
      <w:r>
        <w:rPr>
          <w:rFonts w:eastAsia="方正楷体_GBK"/>
          <w:color w:val="000000"/>
          <w:sz w:val="28"/>
          <w:szCs w:val="28"/>
        </w:rPr>
        <w:fldChar w:fldCharType="separate"/>
      </w:r>
      <w:r>
        <w:rPr>
          <w:rFonts w:eastAsia="方正楷体_GBK"/>
          <w:color w:val="000000"/>
          <w:sz w:val="28"/>
          <w:szCs w:val="28"/>
        </w:rPr>
        <w:t>（一）强</w:t>
      </w:r>
      <w:r>
        <w:rPr>
          <w:rFonts w:hint="eastAsia" w:eastAsia="方正楷体_GBK"/>
          <w:color w:val="000000"/>
          <w:sz w:val="28"/>
          <w:szCs w:val="28"/>
        </w:rPr>
        <w:t>化</w:t>
      </w:r>
      <w:r>
        <w:rPr>
          <w:rFonts w:eastAsia="方正楷体_GBK"/>
          <w:color w:val="000000"/>
          <w:sz w:val="28"/>
          <w:szCs w:val="28"/>
        </w:rPr>
        <w:t>组织保障</w:t>
      </w:r>
      <w:r>
        <w:rPr>
          <w:color w:val="000000"/>
          <w:sz w:val="28"/>
          <w:szCs w:val="28"/>
        </w:rPr>
        <w:tab/>
      </w:r>
      <w:r>
        <w:rPr>
          <w:color w:val="000000"/>
          <w:sz w:val="28"/>
          <w:szCs w:val="28"/>
        </w:rPr>
        <w:fldChar w:fldCharType="begin"/>
      </w:r>
      <w:r>
        <w:rPr>
          <w:color w:val="000000"/>
          <w:sz w:val="28"/>
          <w:szCs w:val="28"/>
        </w:rPr>
        <w:instrText xml:space="preserve"> PAGEREF _Toc1682 \h </w:instrText>
      </w:r>
      <w:r>
        <w:rPr>
          <w:color w:val="000000"/>
          <w:sz w:val="28"/>
          <w:szCs w:val="28"/>
        </w:rPr>
        <w:fldChar w:fldCharType="separate"/>
      </w:r>
      <w:r>
        <w:rPr>
          <w:color w:val="000000"/>
          <w:sz w:val="28"/>
          <w:szCs w:val="28"/>
        </w:rPr>
        <w:t>61</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_Toc23490 </w:instrText>
      </w:r>
      <w:r>
        <w:rPr>
          <w:rFonts w:eastAsia="方正楷体_GBK"/>
          <w:color w:val="000000"/>
          <w:sz w:val="28"/>
          <w:szCs w:val="28"/>
        </w:rPr>
        <w:fldChar w:fldCharType="separate"/>
      </w:r>
      <w:r>
        <w:rPr>
          <w:rFonts w:eastAsia="方正楷体_GBK"/>
          <w:color w:val="000000"/>
          <w:sz w:val="28"/>
          <w:szCs w:val="28"/>
        </w:rPr>
        <w:t>（二）强化规划实施</w:t>
      </w:r>
      <w:r>
        <w:rPr>
          <w:color w:val="000000"/>
          <w:sz w:val="28"/>
          <w:szCs w:val="28"/>
        </w:rPr>
        <w:tab/>
      </w:r>
      <w:r>
        <w:rPr>
          <w:color w:val="000000"/>
          <w:sz w:val="28"/>
          <w:szCs w:val="28"/>
        </w:rPr>
        <w:fldChar w:fldCharType="begin"/>
      </w:r>
      <w:r>
        <w:rPr>
          <w:color w:val="000000"/>
          <w:sz w:val="28"/>
          <w:szCs w:val="28"/>
        </w:rPr>
        <w:instrText xml:space="preserve"> PAGEREF _Toc23490 \h </w:instrText>
      </w:r>
      <w:r>
        <w:rPr>
          <w:color w:val="000000"/>
          <w:sz w:val="28"/>
          <w:szCs w:val="28"/>
        </w:rPr>
        <w:fldChar w:fldCharType="separate"/>
      </w:r>
      <w:r>
        <w:rPr>
          <w:color w:val="000000"/>
          <w:sz w:val="28"/>
          <w:szCs w:val="28"/>
        </w:rPr>
        <w:t>61</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_Toc4757 </w:instrText>
      </w:r>
      <w:r>
        <w:rPr>
          <w:rFonts w:eastAsia="方正楷体_GBK"/>
          <w:color w:val="000000"/>
          <w:sz w:val="28"/>
          <w:szCs w:val="28"/>
        </w:rPr>
        <w:fldChar w:fldCharType="separate"/>
      </w:r>
      <w:r>
        <w:rPr>
          <w:rFonts w:eastAsia="方正楷体_GBK"/>
          <w:color w:val="000000"/>
          <w:sz w:val="28"/>
          <w:szCs w:val="28"/>
        </w:rPr>
        <w:t>（三）强化政策支持</w:t>
      </w:r>
      <w:r>
        <w:rPr>
          <w:color w:val="000000"/>
          <w:sz w:val="28"/>
          <w:szCs w:val="28"/>
        </w:rPr>
        <w:tab/>
      </w:r>
      <w:r>
        <w:rPr>
          <w:color w:val="000000"/>
          <w:sz w:val="28"/>
          <w:szCs w:val="28"/>
        </w:rPr>
        <w:fldChar w:fldCharType="begin"/>
      </w:r>
      <w:r>
        <w:rPr>
          <w:color w:val="000000"/>
          <w:sz w:val="28"/>
          <w:szCs w:val="28"/>
        </w:rPr>
        <w:instrText xml:space="preserve"> PAGEREF _Toc4757 \h </w:instrText>
      </w:r>
      <w:r>
        <w:rPr>
          <w:color w:val="000000"/>
          <w:sz w:val="28"/>
          <w:szCs w:val="28"/>
        </w:rPr>
        <w:fldChar w:fldCharType="separate"/>
      </w:r>
      <w:r>
        <w:rPr>
          <w:color w:val="000000"/>
          <w:sz w:val="28"/>
          <w:szCs w:val="28"/>
        </w:rPr>
        <w:t>61</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_Toc24610 </w:instrText>
      </w:r>
      <w:r>
        <w:rPr>
          <w:rFonts w:eastAsia="方正楷体_GBK"/>
          <w:color w:val="000000"/>
          <w:sz w:val="28"/>
          <w:szCs w:val="28"/>
        </w:rPr>
        <w:fldChar w:fldCharType="separate"/>
      </w:r>
      <w:r>
        <w:rPr>
          <w:rFonts w:eastAsia="方正楷体_GBK"/>
          <w:color w:val="000000"/>
          <w:sz w:val="28"/>
          <w:szCs w:val="28"/>
        </w:rPr>
        <w:t>（四）强化招商引资</w:t>
      </w:r>
      <w:r>
        <w:rPr>
          <w:color w:val="000000"/>
          <w:sz w:val="28"/>
          <w:szCs w:val="28"/>
        </w:rPr>
        <w:tab/>
      </w:r>
      <w:r>
        <w:rPr>
          <w:color w:val="000000"/>
          <w:sz w:val="28"/>
          <w:szCs w:val="28"/>
        </w:rPr>
        <w:fldChar w:fldCharType="begin"/>
      </w:r>
      <w:r>
        <w:rPr>
          <w:color w:val="000000"/>
          <w:sz w:val="28"/>
          <w:szCs w:val="28"/>
        </w:rPr>
        <w:instrText xml:space="preserve"> PAGEREF _Toc24610 \h </w:instrText>
      </w:r>
      <w:r>
        <w:rPr>
          <w:color w:val="000000"/>
          <w:sz w:val="28"/>
          <w:szCs w:val="28"/>
        </w:rPr>
        <w:fldChar w:fldCharType="separate"/>
      </w:r>
      <w:r>
        <w:rPr>
          <w:color w:val="000000"/>
          <w:sz w:val="28"/>
          <w:szCs w:val="28"/>
        </w:rPr>
        <w:t>62</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sz w:val="28"/>
          <w:szCs w:val="28"/>
        </w:rPr>
      </w:pPr>
      <w:r>
        <w:rPr>
          <w:rFonts w:eastAsia="方正楷体_GBK"/>
          <w:color w:val="000000"/>
          <w:sz w:val="28"/>
          <w:szCs w:val="28"/>
        </w:rPr>
        <w:fldChar w:fldCharType="begin"/>
      </w:r>
      <w:r>
        <w:rPr>
          <w:rFonts w:eastAsia="方正楷体_GBK"/>
          <w:color w:val="000000"/>
          <w:sz w:val="28"/>
          <w:szCs w:val="28"/>
        </w:rPr>
        <w:instrText xml:space="preserve"> HYPERLINK \l _Toc8666 </w:instrText>
      </w:r>
      <w:r>
        <w:rPr>
          <w:rFonts w:eastAsia="方正楷体_GBK"/>
          <w:color w:val="000000"/>
          <w:sz w:val="28"/>
          <w:szCs w:val="28"/>
        </w:rPr>
        <w:fldChar w:fldCharType="separate"/>
      </w:r>
      <w:r>
        <w:rPr>
          <w:rFonts w:eastAsia="方正楷体_GBK"/>
          <w:color w:val="000000"/>
          <w:sz w:val="28"/>
          <w:szCs w:val="28"/>
        </w:rPr>
        <w:t>（五）</w:t>
      </w:r>
      <w:r>
        <w:rPr>
          <w:rFonts w:hint="eastAsia" w:eastAsia="方正楷体_GBK"/>
          <w:color w:val="000000"/>
          <w:sz w:val="28"/>
          <w:szCs w:val="28"/>
        </w:rPr>
        <w:t>强化</w:t>
      </w:r>
      <w:r>
        <w:rPr>
          <w:rFonts w:eastAsia="方正楷体_GBK"/>
          <w:color w:val="000000"/>
          <w:sz w:val="28"/>
          <w:szCs w:val="28"/>
        </w:rPr>
        <w:t>人才队伍</w:t>
      </w:r>
      <w:r>
        <w:rPr>
          <w:rFonts w:hint="eastAsia" w:eastAsia="方正楷体_GBK"/>
          <w:color w:val="000000"/>
          <w:sz w:val="28"/>
          <w:szCs w:val="28"/>
        </w:rPr>
        <w:t>建设</w:t>
      </w:r>
      <w:r>
        <w:rPr>
          <w:color w:val="000000"/>
          <w:sz w:val="28"/>
          <w:szCs w:val="28"/>
        </w:rPr>
        <w:tab/>
      </w:r>
      <w:r>
        <w:rPr>
          <w:color w:val="000000"/>
          <w:sz w:val="28"/>
          <w:szCs w:val="28"/>
        </w:rPr>
        <w:fldChar w:fldCharType="begin"/>
      </w:r>
      <w:r>
        <w:rPr>
          <w:color w:val="000000"/>
          <w:sz w:val="28"/>
          <w:szCs w:val="28"/>
        </w:rPr>
        <w:instrText xml:space="preserve"> PAGEREF _Toc8666 \h </w:instrText>
      </w:r>
      <w:r>
        <w:rPr>
          <w:color w:val="000000"/>
          <w:sz w:val="28"/>
          <w:szCs w:val="28"/>
        </w:rPr>
        <w:fldChar w:fldCharType="separate"/>
      </w:r>
      <w:r>
        <w:rPr>
          <w:color w:val="000000"/>
          <w:sz w:val="28"/>
          <w:szCs w:val="28"/>
        </w:rPr>
        <w:t>62</w:t>
      </w:r>
      <w:r>
        <w:rPr>
          <w:color w:val="000000"/>
          <w:sz w:val="28"/>
          <w:szCs w:val="28"/>
        </w:rPr>
        <w:fldChar w:fldCharType="end"/>
      </w:r>
      <w:r>
        <w:rPr>
          <w:rFonts w:eastAsia="方正楷体_GBK"/>
          <w:color w:val="000000"/>
          <w:sz w:val="28"/>
          <w:szCs w:val="28"/>
        </w:rPr>
        <w:fldChar w:fldCharType="end"/>
      </w:r>
    </w:p>
    <w:p>
      <w:pPr>
        <w:pStyle w:val="14"/>
        <w:tabs>
          <w:tab w:val="right" w:leader="dot" w:pos="8820"/>
        </w:tabs>
        <w:snapToGrid w:val="0"/>
        <w:spacing w:line="594" w:lineRule="exact"/>
        <w:ind w:left="420"/>
        <w:rPr>
          <w:color w:val="000000"/>
        </w:rPr>
      </w:pPr>
      <w:r>
        <w:rPr>
          <w:rFonts w:eastAsia="方正楷体_GBK"/>
          <w:color w:val="000000"/>
          <w:sz w:val="28"/>
          <w:szCs w:val="28"/>
        </w:rPr>
        <w:fldChar w:fldCharType="begin"/>
      </w:r>
      <w:r>
        <w:rPr>
          <w:rFonts w:eastAsia="方正楷体_GBK"/>
          <w:color w:val="000000"/>
          <w:sz w:val="28"/>
          <w:szCs w:val="28"/>
        </w:rPr>
        <w:instrText xml:space="preserve"> HYPERLINK \l _Toc7235 </w:instrText>
      </w:r>
      <w:r>
        <w:rPr>
          <w:rFonts w:eastAsia="方正楷体_GBK"/>
          <w:color w:val="000000"/>
          <w:sz w:val="28"/>
          <w:szCs w:val="28"/>
        </w:rPr>
        <w:fldChar w:fldCharType="separate"/>
      </w:r>
      <w:r>
        <w:rPr>
          <w:rFonts w:eastAsia="方正楷体_GBK"/>
          <w:color w:val="000000"/>
          <w:sz w:val="28"/>
          <w:szCs w:val="28"/>
        </w:rPr>
        <w:t>（六）强</w:t>
      </w:r>
      <w:r>
        <w:rPr>
          <w:rFonts w:hint="eastAsia" w:eastAsia="方正楷体_GBK"/>
          <w:color w:val="000000"/>
          <w:sz w:val="28"/>
          <w:szCs w:val="28"/>
        </w:rPr>
        <w:t>化安全生产及</w:t>
      </w:r>
      <w:r>
        <w:rPr>
          <w:rFonts w:eastAsia="方正楷体_GBK"/>
          <w:color w:val="000000"/>
          <w:sz w:val="28"/>
          <w:szCs w:val="28"/>
        </w:rPr>
        <w:t>风险防控</w:t>
      </w:r>
      <w:bookmarkStart w:id="0" w:name="_Hlt84847415"/>
      <w:bookmarkEnd w:id="0"/>
      <w:r>
        <w:rPr>
          <w:color w:val="000000"/>
          <w:sz w:val="28"/>
          <w:szCs w:val="28"/>
        </w:rPr>
        <w:tab/>
      </w:r>
      <w:r>
        <w:rPr>
          <w:color w:val="000000"/>
          <w:sz w:val="28"/>
          <w:szCs w:val="28"/>
        </w:rPr>
        <w:fldChar w:fldCharType="begin"/>
      </w:r>
      <w:r>
        <w:rPr>
          <w:color w:val="000000"/>
          <w:sz w:val="28"/>
          <w:szCs w:val="28"/>
        </w:rPr>
        <w:instrText xml:space="preserve"> PAGEREF _Toc7235 \h </w:instrText>
      </w:r>
      <w:r>
        <w:rPr>
          <w:color w:val="000000"/>
          <w:sz w:val="28"/>
          <w:szCs w:val="28"/>
        </w:rPr>
        <w:fldChar w:fldCharType="separate"/>
      </w:r>
      <w:r>
        <w:rPr>
          <w:color w:val="000000"/>
          <w:sz w:val="28"/>
          <w:szCs w:val="28"/>
        </w:rPr>
        <w:t>63</w:t>
      </w:r>
      <w:r>
        <w:rPr>
          <w:color w:val="000000"/>
          <w:sz w:val="28"/>
          <w:szCs w:val="28"/>
        </w:rPr>
        <w:fldChar w:fldCharType="end"/>
      </w:r>
      <w:r>
        <w:rPr>
          <w:rFonts w:eastAsia="方正楷体_GBK"/>
          <w:color w:val="000000"/>
          <w:sz w:val="28"/>
          <w:szCs w:val="28"/>
        </w:rPr>
        <w:fldChar w:fldCharType="end"/>
      </w:r>
    </w:p>
    <w:p>
      <w:pPr>
        <w:pStyle w:val="12"/>
        <w:tabs>
          <w:tab w:val="right" w:leader="dot" w:pos="8820"/>
        </w:tabs>
        <w:snapToGrid w:val="0"/>
        <w:spacing w:line="594" w:lineRule="exact"/>
        <w:rPr>
          <w:rFonts w:eastAsia="方正仿宋_GBK"/>
          <w:color w:val="000000"/>
        </w:rPr>
        <w:sectPr>
          <w:footerReference r:id="rId4" w:type="default"/>
          <w:footerReference r:id="rId5" w:type="even"/>
          <w:pgSz w:w="11906" w:h="16838"/>
          <w:pgMar w:top="2098" w:right="1474" w:bottom="1985" w:left="1588" w:header="851" w:footer="1474" w:gutter="0"/>
          <w:pgNumType w:start="1"/>
          <w:cols w:space="720" w:num="1"/>
          <w:docGrid w:type="lines" w:linePitch="312" w:charSpace="0"/>
        </w:sectPr>
      </w:pPr>
      <w:r>
        <w:rPr>
          <w:rFonts w:eastAsia="方正楷体_GBK"/>
          <w:color w:val="000000"/>
          <w:szCs w:val="28"/>
        </w:rPr>
        <w:fldChar w:fldCharType="end"/>
      </w:r>
    </w:p>
    <w:p>
      <w:pPr>
        <w:spacing w:line="600" w:lineRule="exact"/>
        <w:jc w:val="center"/>
        <w:rPr>
          <w:rFonts w:eastAsia="方正仿宋_GBK"/>
          <w:b/>
          <w:bCs/>
          <w:color w:val="000000"/>
          <w:sz w:val="36"/>
          <w:szCs w:val="36"/>
        </w:rPr>
      </w:pPr>
      <w:bookmarkStart w:id="1" w:name="_Toc7985"/>
      <w:bookmarkStart w:id="2" w:name="_Toc24940"/>
      <w:bookmarkStart w:id="3" w:name="_Toc6904"/>
      <w:bookmarkStart w:id="4" w:name="_Toc4311"/>
      <w:bookmarkStart w:id="5" w:name="_Hlk71900601"/>
      <w:bookmarkStart w:id="6" w:name="_Toc71912412"/>
      <w:r>
        <w:rPr>
          <w:rFonts w:eastAsia="方正仿宋_GBK"/>
          <w:b/>
          <w:bCs/>
          <w:color w:val="000000"/>
          <w:sz w:val="36"/>
          <w:szCs w:val="36"/>
        </w:rPr>
        <w:t>前  言</w:t>
      </w:r>
    </w:p>
    <w:p>
      <w:pPr>
        <w:spacing w:line="600" w:lineRule="exact"/>
        <w:ind w:firstLine="640" w:firstLineChars="200"/>
        <w:rPr>
          <w:rFonts w:eastAsia="方正仿宋_GBK"/>
          <w:color w:val="000000"/>
          <w:sz w:val="32"/>
          <w:szCs w:val="32"/>
        </w:rPr>
      </w:pPr>
      <w:r>
        <w:rPr>
          <w:rFonts w:eastAsia="方正仿宋_GBK"/>
          <w:color w:val="000000"/>
          <w:sz w:val="32"/>
          <w:szCs w:val="32"/>
        </w:rPr>
        <w:t>“十四五”时期（2021-2025年），是我国全面建成小康社会、实现第一个百年奋斗目标之后，乘势而上开启全面建设社会主义现代化国家新征程、向第二个百年奋斗目标进军的第一个五年，是重庆全面落实习近平总书记赋予重庆新定位、新使命的第一个五年，也是黔江全面落实</w:t>
      </w:r>
      <w:r>
        <w:rPr>
          <w:rFonts w:hint="eastAsia" w:eastAsia="方正仿宋_GBK"/>
          <w:color w:val="000000"/>
          <w:sz w:val="32"/>
          <w:szCs w:val="32"/>
        </w:rPr>
        <w:t>全市</w:t>
      </w:r>
      <w:r>
        <w:rPr>
          <w:rFonts w:eastAsia="方正仿宋_GBK"/>
          <w:color w:val="000000"/>
          <w:sz w:val="32"/>
          <w:szCs w:val="32"/>
        </w:rPr>
        <w:t>“一区两群”协调发展机制的实施意见、大力推动渝东南武陵山区城镇群建设的第一个五年。为科学谋划全区商贸物流产业发展，立足扩大内需战略基点，不断激发消费潜力和活力，深入实施更大范围、更宽领域、更深层次对外开放，积极建设高水平开放平台，大力构建现代物流服务网络，促进内需和外需、进口和出口、引进外资和对外投资协调发展，努力建设区域消费中心，打造武陵山区对外开放高地，建设区域物流集散中心，特编制《</w:t>
      </w:r>
      <w:r>
        <w:rPr>
          <w:rFonts w:hint="eastAsia" w:eastAsia="方正仿宋_GBK"/>
          <w:color w:val="000000"/>
          <w:sz w:val="32"/>
          <w:szCs w:val="32"/>
        </w:rPr>
        <w:t>黔江区商贸物流发展“十四五”规划</w:t>
      </w:r>
      <w:r>
        <w:rPr>
          <w:rFonts w:eastAsia="方正仿宋_GBK"/>
          <w:color w:val="000000"/>
          <w:sz w:val="32"/>
          <w:szCs w:val="32"/>
        </w:rPr>
        <w:t>》。本规划是“十四五”时期促进全区商贸物流业发展的重要指南，是全区各级商贸物流相关部门履职的重要依据。</w:t>
      </w:r>
    </w:p>
    <w:p>
      <w:pPr>
        <w:spacing w:line="580" w:lineRule="exact"/>
        <w:outlineLvl w:val="0"/>
        <w:rPr>
          <w:rFonts w:hint="eastAsia" w:eastAsia="方正黑体_GBK"/>
          <w:color w:val="000000"/>
          <w:sz w:val="32"/>
          <w:szCs w:val="22"/>
        </w:rPr>
      </w:pPr>
    </w:p>
    <w:p>
      <w:pPr>
        <w:pStyle w:val="2"/>
        <w:rPr>
          <w:rFonts w:hint="eastAsia"/>
        </w:rPr>
        <w:sectPr>
          <w:footerReference r:id="rId6" w:type="default"/>
          <w:pgSz w:w="11906" w:h="16838" w:orient="landscape"/>
          <w:pgMar w:top="2098" w:right="1531" w:bottom="1985" w:left="1531" w:header="1134" w:footer="1304" w:gutter="0"/>
          <w:cols w:space="720" w:num="1"/>
          <w:docGrid w:type="lines" w:linePitch="312" w:charSpace="0"/>
        </w:sectPr>
      </w:pPr>
    </w:p>
    <w:p>
      <w:pPr>
        <w:spacing w:line="580" w:lineRule="exact"/>
        <w:outlineLvl w:val="0"/>
        <w:rPr>
          <w:rFonts w:eastAsia="方正黑体_GBK"/>
          <w:color w:val="000000"/>
          <w:sz w:val="32"/>
          <w:szCs w:val="22"/>
        </w:rPr>
      </w:pPr>
      <w:bookmarkStart w:id="7" w:name="_Toc24399"/>
      <w:r>
        <w:rPr>
          <w:rFonts w:eastAsia="方正黑体_GBK"/>
          <w:color w:val="000000"/>
          <w:sz w:val="32"/>
          <w:szCs w:val="22"/>
        </w:rPr>
        <w:t>一、规划总则</w:t>
      </w:r>
      <w:bookmarkEnd w:id="7"/>
    </w:p>
    <w:p>
      <w:pPr>
        <w:spacing w:line="580" w:lineRule="exact"/>
        <w:ind w:firstLine="640" w:firstLineChars="200"/>
        <w:outlineLvl w:val="1"/>
        <w:rPr>
          <w:rFonts w:eastAsia="方正楷体_GBK"/>
          <w:color w:val="000000"/>
          <w:sz w:val="32"/>
          <w:szCs w:val="22"/>
        </w:rPr>
      </w:pPr>
      <w:bookmarkStart w:id="8" w:name="_Toc22406"/>
      <w:r>
        <w:rPr>
          <w:rFonts w:eastAsia="方正楷体_GBK"/>
          <w:color w:val="000000"/>
          <w:sz w:val="32"/>
          <w:szCs w:val="22"/>
        </w:rPr>
        <w:t>（一）规划依据</w:t>
      </w:r>
      <w:bookmarkEnd w:id="8"/>
    </w:p>
    <w:p>
      <w:pPr>
        <w:spacing w:line="580" w:lineRule="exact"/>
        <w:ind w:firstLine="640" w:firstLineChars="200"/>
        <w:rPr>
          <w:rFonts w:eastAsia="方正仿宋_GBK"/>
          <w:color w:val="000000"/>
          <w:sz w:val="32"/>
          <w:szCs w:val="32"/>
        </w:rPr>
      </w:pPr>
      <w:r>
        <w:rPr>
          <w:rFonts w:eastAsia="方正仿宋_GBK"/>
          <w:color w:val="000000"/>
          <w:sz w:val="32"/>
          <w:szCs w:val="32"/>
        </w:rPr>
        <w:t>1.《中华人民共和国国民经济和社会发展第十四个五年规划和2035年远景目标纲要》；</w:t>
      </w:r>
    </w:p>
    <w:p>
      <w:pPr>
        <w:spacing w:line="580" w:lineRule="exact"/>
        <w:ind w:firstLine="640" w:firstLineChars="200"/>
        <w:rPr>
          <w:rFonts w:eastAsia="方正仿宋_GBK"/>
          <w:color w:val="000000"/>
          <w:sz w:val="32"/>
          <w:szCs w:val="32"/>
        </w:rPr>
      </w:pPr>
      <w:r>
        <w:rPr>
          <w:rFonts w:eastAsia="方正仿宋_GBK"/>
          <w:color w:val="000000"/>
          <w:sz w:val="32"/>
          <w:szCs w:val="32"/>
        </w:rPr>
        <w:t>2.《西部陆海新通道总体规划》；</w:t>
      </w:r>
    </w:p>
    <w:p>
      <w:pPr>
        <w:spacing w:line="580" w:lineRule="exact"/>
        <w:ind w:firstLine="640" w:firstLineChars="200"/>
        <w:rPr>
          <w:rFonts w:eastAsia="方正仿宋_GBK"/>
          <w:color w:val="000000"/>
          <w:sz w:val="32"/>
          <w:szCs w:val="32"/>
        </w:rPr>
      </w:pPr>
      <w:r>
        <w:rPr>
          <w:rFonts w:eastAsia="方正仿宋_GBK"/>
          <w:color w:val="000000"/>
          <w:sz w:val="32"/>
          <w:szCs w:val="32"/>
        </w:rPr>
        <w:t>3.《成渝地区双城经济圈建设规划纲要》；</w:t>
      </w:r>
    </w:p>
    <w:p>
      <w:pPr>
        <w:spacing w:line="580" w:lineRule="exact"/>
        <w:ind w:firstLine="640" w:firstLineChars="200"/>
        <w:rPr>
          <w:rFonts w:eastAsia="方正仿宋_GBK"/>
          <w:color w:val="000000"/>
          <w:sz w:val="32"/>
          <w:szCs w:val="32"/>
        </w:rPr>
      </w:pPr>
      <w:r>
        <w:rPr>
          <w:rFonts w:eastAsia="方正仿宋_GBK"/>
          <w:color w:val="000000"/>
          <w:sz w:val="32"/>
          <w:szCs w:val="32"/>
        </w:rPr>
        <w:t>4.《国务院办公厅关于加快发展流通促进商业消费的意见》（国办发〔2019〕42号）；</w:t>
      </w:r>
    </w:p>
    <w:p>
      <w:pPr>
        <w:spacing w:line="580" w:lineRule="exact"/>
        <w:ind w:firstLine="640" w:firstLineChars="200"/>
        <w:rPr>
          <w:rFonts w:eastAsia="方正仿宋_GBK"/>
          <w:color w:val="000000"/>
          <w:sz w:val="32"/>
          <w:szCs w:val="32"/>
        </w:rPr>
      </w:pPr>
      <w:r>
        <w:rPr>
          <w:rFonts w:eastAsia="方正仿宋_GBK"/>
          <w:color w:val="000000"/>
          <w:sz w:val="32"/>
          <w:szCs w:val="32"/>
        </w:rPr>
        <w:t>5.《国务院办公厅关于以新业态新模式引领新型消费加快发展的意见》（国办发〔2020〕32号）；</w:t>
      </w:r>
    </w:p>
    <w:p>
      <w:pPr>
        <w:spacing w:line="580" w:lineRule="exact"/>
        <w:ind w:firstLine="640" w:firstLineChars="200"/>
        <w:rPr>
          <w:rFonts w:eastAsia="方正仿宋_GBK"/>
          <w:color w:val="000000"/>
          <w:sz w:val="32"/>
          <w:szCs w:val="32"/>
        </w:rPr>
      </w:pPr>
      <w:r>
        <w:rPr>
          <w:rFonts w:eastAsia="方正仿宋_GBK"/>
          <w:color w:val="000000"/>
          <w:sz w:val="32"/>
          <w:szCs w:val="32"/>
        </w:rPr>
        <w:t>6.商务部等17部门《关于加强县域商业体系建设促进农村消费的意见》（商流通发〔2021〕99号）；</w:t>
      </w:r>
    </w:p>
    <w:p>
      <w:pPr>
        <w:spacing w:line="580" w:lineRule="exact"/>
        <w:ind w:firstLine="640" w:firstLineChars="200"/>
        <w:rPr>
          <w:rFonts w:eastAsia="方正仿宋_GBK"/>
          <w:color w:val="000000"/>
          <w:sz w:val="32"/>
          <w:szCs w:val="32"/>
        </w:rPr>
      </w:pPr>
      <w:r>
        <w:rPr>
          <w:rFonts w:eastAsia="方正仿宋_GBK"/>
          <w:color w:val="000000"/>
          <w:sz w:val="32"/>
          <w:szCs w:val="32"/>
        </w:rPr>
        <w:t>7.国家发展改革委等28部门《关于印发&lt;加快培育新型消费实施方案&gt;的通知》（发改就业〔2021〕396号）；</w:t>
      </w:r>
    </w:p>
    <w:p>
      <w:pPr>
        <w:spacing w:line="580" w:lineRule="exact"/>
        <w:ind w:firstLine="640" w:firstLineChars="200"/>
        <w:rPr>
          <w:rFonts w:eastAsia="方正仿宋_GBK"/>
          <w:color w:val="000000"/>
          <w:sz w:val="32"/>
          <w:szCs w:val="32"/>
        </w:rPr>
      </w:pPr>
      <w:r>
        <w:rPr>
          <w:rFonts w:eastAsia="方正仿宋_GBK"/>
          <w:color w:val="000000"/>
          <w:sz w:val="32"/>
          <w:szCs w:val="32"/>
        </w:rPr>
        <w:t>8.《重庆市人民政府关于印发重庆市现代服务业发展计划（2019-2022年）的通知》（渝府发〔2019〕32号）；</w:t>
      </w:r>
    </w:p>
    <w:p>
      <w:pPr>
        <w:spacing w:line="580" w:lineRule="exact"/>
        <w:ind w:firstLine="640" w:firstLineChars="200"/>
        <w:rPr>
          <w:rFonts w:eastAsia="方正仿宋_GBK"/>
          <w:color w:val="000000"/>
          <w:sz w:val="32"/>
          <w:szCs w:val="32"/>
        </w:rPr>
      </w:pPr>
      <w:r>
        <w:rPr>
          <w:rFonts w:eastAsia="方正仿宋_GBK"/>
          <w:color w:val="000000"/>
          <w:sz w:val="32"/>
          <w:szCs w:val="32"/>
        </w:rPr>
        <w:t>9.《重庆市人民政府关于新形势下推动服务业高质量发展的意见》（渝府发〔2020〕10号）；</w:t>
      </w:r>
    </w:p>
    <w:p>
      <w:pPr>
        <w:spacing w:line="580" w:lineRule="exact"/>
        <w:ind w:firstLine="640" w:firstLineChars="200"/>
        <w:rPr>
          <w:rFonts w:eastAsia="方正仿宋_GBK"/>
          <w:color w:val="000000"/>
          <w:sz w:val="32"/>
          <w:szCs w:val="32"/>
        </w:rPr>
      </w:pPr>
      <w:r>
        <w:rPr>
          <w:rFonts w:eastAsia="方正仿宋_GBK"/>
          <w:color w:val="000000"/>
          <w:sz w:val="32"/>
          <w:szCs w:val="32"/>
        </w:rPr>
        <w:t>10.《重庆市人民政府关于加快电子商务产业发展的意见》（渝府发〔2019〕17号）；</w:t>
      </w:r>
    </w:p>
    <w:p>
      <w:pPr>
        <w:spacing w:line="580" w:lineRule="exact"/>
        <w:ind w:firstLine="640" w:firstLineChars="200"/>
        <w:rPr>
          <w:rFonts w:eastAsia="方正仿宋_GBK"/>
          <w:color w:val="000000"/>
          <w:sz w:val="32"/>
          <w:szCs w:val="32"/>
        </w:rPr>
      </w:pPr>
      <w:r>
        <w:rPr>
          <w:rFonts w:eastAsia="方正仿宋_GBK"/>
          <w:color w:val="000000"/>
          <w:sz w:val="32"/>
          <w:szCs w:val="32"/>
        </w:rPr>
        <w:t>11.《重庆市人民政府办公厅关于加快建设国际消费中心城市的实施意见》（渝府办发〔2019〕121号）；</w:t>
      </w:r>
    </w:p>
    <w:p>
      <w:pPr>
        <w:spacing w:line="580" w:lineRule="exact"/>
        <w:ind w:firstLine="640" w:firstLineChars="200"/>
        <w:rPr>
          <w:rFonts w:eastAsia="方正仿宋_GBK"/>
          <w:color w:val="000000"/>
          <w:sz w:val="32"/>
          <w:szCs w:val="32"/>
        </w:rPr>
      </w:pPr>
      <w:r>
        <w:rPr>
          <w:rFonts w:eastAsia="方正仿宋_GBK"/>
          <w:color w:val="000000"/>
          <w:sz w:val="32"/>
          <w:szCs w:val="32"/>
        </w:rPr>
        <w:t>12.《重庆市人民政府关于印发重庆市推进西部陆海新通道建设实施方案的通知》（渝府发〔2020〕9号）；</w:t>
      </w:r>
    </w:p>
    <w:p>
      <w:pPr>
        <w:spacing w:line="580" w:lineRule="exact"/>
        <w:ind w:firstLine="640" w:firstLineChars="200"/>
        <w:rPr>
          <w:rFonts w:eastAsia="方正仿宋_GBK"/>
          <w:color w:val="000000"/>
          <w:sz w:val="32"/>
          <w:szCs w:val="32"/>
        </w:rPr>
      </w:pPr>
      <w:r>
        <w:rPr>
          <w:rFonts w:eastAsia="方正仿宋_GBK"/>
          <w:color w:val="000000"/>
          <w:sz w:val="32"/>
          <w:szCs w:val="32"/>
        </w:rPr>
        <w:t>13.《重庆市人民政府办公厅关于印发重庆市城乡冷链物流体系建设方案（2020-2025年）的通知》（渝府办发〔2020〕75号）；</w:t>
      </w:r>
    </w:p>
    <w:p>
      <w:pPr>
        <w:spacing w:line="580" w:lineRule="exact"/>
        <w:ind w:firstLine="640" w:firstLineChars="200"/>
        <w:rPr>
          <w:rFonts w:eastAsia="方正仿宋_GBK"/>
          <w:color w:val="000000"/>
          <w:sz w:val="32"/>
          <w:szCs w:val="32"/>
        </w:rPr>
      </w:pPr>
      <w:r>
        <w:rPr>
          <w:rFonts w:eastAsia="方正仿宋_GBK"/>
          <w:color w:val="000000"/>
          <w:sz w:val="32"/>
          <w:szCs w:val="32"/>
        </w:rPr>
        <w:t>14.《中共重庆市委办公厅重庆市人民政府办公厅关于印发渝东南武陵山区城镇群建设行动方案的通知》（渝委办发〔2021〕3号）；</w:t>
      </w:r>
    </w:p>
    <w:p>
      <w:pPr>
        <w:spacing w:line="580" w:lineRule="exact"/>
        <w:ind w:firstLine="640" w:firstLineChars="200"/>
        <w:rPr>
          <w:rFonts w:eastAsia="方正仿宋_GBK"/>
          <w:color w:val="000000"/>
          <w:sz w:val="32"/>
          <w:szCs w:val="32"/>
        </w:rPr>
      </w:pPr>
      <w:r>
        <w:rPr>
          <w:rFonts w:eastAsia="方正仿宋_GBK"/>
          <w:color w:val="000000"/>
          <w:sz w:val="32"/>
          <w:szCs w:val="32"/>
        </w:rPr>
        <w:t>15.《中共重庆市黔江区委关于制定黔江区国民经济和社会发展第十四个五年规划和二〇三五年远景目标的建议》；</w:t>
      </w:r>
    </w:p>
    <w:p>
      <w:pPr>
        <w:spacing w:line="580" w:lineRule="exact"/>
        <w:ind w:firstLine="640" w:firstLineChars="200"/>
        <w:rPr>
          <w:rFonts w:eastAsia="方正仿宋_GBK"/>
          <w:color w:val="000000"/>
          <w:sz w:val="32"/>
          <w:szCs w:val="32"/>
        </w:rPr>
      </w:pPr>
      <w:r>
        <w:rPr>
          <w:rFonts w:eastAsia="方正仿宋_GBK"/>
          <w:color w:val="000000"/>
          <w:sz w:val="32"/>
          <w:szCs w:val="32"/>
        </w:rPr>
        <w:t>16.《重庆市黔江区人民政府关于印发重庆市黔江区国民经济和社会发展第十四个五年规划和二〇三五年远景目标纲要的通知》（黔江府发〔2021〕29号）。</w:t>
      </w:r>
    </w:p>
    <w:p>
      <w:pPr>
        <w:spacing w:line="580" w:lineRule="exact"/>
        <w:ind w:firstLine="640" w:firstLineChars="200"/>
        <w:outlineLvl w:val="1"/>
        <w:rPr>
          <w:rFonts w:eastAsia="方正楷体_GBK"/>
          <w:color w:val="000000"/>
          <w:sz w:val="32"/>
          <w:szCs w:val="22"/>
        </w:rPr>
      </w:pPr>
      <w:bookmarkStart w:id="9" w:name="_Toc13352"/>
      <w:r>
        <w:rPr>
          <w:rFonts w:eastAsia="方正楷体_GBK"/>
          <w:color w:val="000000"/>
          <w:sz w:val="32"/>
          <w:szCs w:val="22"/>
        </w:rPr>
        <w:t>（二）规划对象</w:t>
      </w:r>
      <w:bookmarkEnd w:id="9"/>
    </w:p>
    <w:p>
      <w:pPr>
        <w:spacing w:line="580" w:lineRule="exact"/>
        <w:ind w:firstLine="640" w:firstLineChars="200"/>
        <w:rPr>
          <w:rFonts w:eastAsia="方正仿宋_GBK"/>
          <w:color w:val="000000"/>
          <w:sz w:val="32"/>
          <w:szCs w:val="32"/>
        </w:rPr>
      </w:pPr>
      <w:r>
        <w:rPr>
          <w:rFonts w:eastAsia="方正仿宋_GBK"/>
          <w:color w:val="000000"/>
          <w:sz w:val="32"/>
          <w:szCs w:val="32"/>
        </w:rPr>
        <w:t>本规划的规划对象为黔江区“商贸物流业”，涵盖批发业、零售业、住宿业、餐饮业、居民服务业、会展业、物流业、对外开放、电子商务、服务贸易以及再生资源回收等商品流通行业。</w:t>
      </w:r>
    </w:p>
    <w:p>
      <w:pPr>
        <w:spacing w:line="580" w:lineRule="exact"/>
        <w:ind w:firstLine="640" w:firstLineChars="200"/>
        <w:outlineLvl w:val="1"/>
        <w:rPr>
          <w:rFonts w:eastAsia="方正楷体_GBK"/>
          <w:color w:val="000000"/>
          <w:sz w:val="32"/>
          <w:szCs w:val="22"/>
        </w:rPr>
      </w:pPr>
      <w:bookmarkStart w:id="10" w:name="_Toc2146"/>
      <w:r>
        <w:rPr>
          <w:rFonts w:eastAsia="方正楷体_GBK"/>
          <w:color w:val="000000"/>
          <w:sz w:val="32"/>
          <w:szCs w:val="22"/>
        </w:rPr>
        <w:t>（三）规划范围</w:t>
      </w:r>
      <w:bookmarkEnd w:id="10"/>
    </w:p>
    <w:p>
      <w:pPr>
        <w:spacing w:line="580" w:lineRule="exact"/>
        <w:ind w:firstLine="640" w:firstLineChars="200"/>
        <w:rPr>
          <w:rFonts w:eastAsia="方正仿宋_GBK"/>
          <w:color w:val="000000"/>
          <w:sz w:val="32"/>
          <w:szCs w:val="32"/>
        </w:rPr>
      </w:pPr>
      <w:r>
        <w:rPr>
          <w:rFonts w:eastAsia="方正仿宋_GBK"/>
          <w:color w:val="000000"/>
          <w:sz w:val="32"/>
          <w:szCs w:val="32"/>
        </w:rPr>
        <w:t>本规划的规划范围为黔江区行政辖区全域，辖6个街道、15个镇、9个乡，面积2402平方公里。</w:t>
      </w:r>
    </w:p>
    <w:p>
      <w:pPr>
        <w:spacing w:line="580" w:lineRule="exact"/>
        <w:ind w:firstLine="640" w:firstLineChars="200"/>
        <w:outlineLvl w:val="1"/>
        <w:rPr>
          <w:rFonts w:eastAsia="方正楷体_GBK"/>
          <w:color w:val="000000"/>
          <w:sz w:val="32"/>
          <w:szCs w:val="22"/>
        </w:rPr>
      </w:pPr>
      <w:bookmarkStart w:id="11" w:name="_Toc24455"/>
      <w:r>
        <w:rPr>
          <w:rFonts w:eastAsia="方正楷体_GBK"/>
          <w:color w:val="000000"/>
          <w:sz w:val="32"/>
          <w:szCs w:val="22"/>
        </w:rPr>
        <w:t>（四）规划期限</w:t>
      </w:r>
      <w:bookmarkEnd w:id="11"/>
    </w:p>
    <w:p>
      <w:pPr>
        <w:spacing w:line="580" w:lineRule="exact"/>
        <w:ind w:firstLine="640" w:firstLineChars="200"/>
        <w:rPr>
          <w:rFonts w:eastAsia="方正仿宋_GBK"/>
          <w:color w:val="000000"/>
          <w:sz w:val="32"/>
          <w:szCs w:val="32"/>
        </w:rPr>
      </w:pPr>
      <w:r>
        <w:rPr>
          <w:rFonts w:eastAsia="方正仿宋_GBK"/>
          <w:color w:val="000000"/>
          <w:sz w:val="32"/>
          <w:szCs w:val="32"/>
        </w:rPr>
        <w:t>规划期：2021-2025年</w:t>
      </w:r>
    </w:p>
    <w:p>
      <w:pPr>
        <w:spacing w:line="580" w:lineRule="exact"/>
        <w:ind w:firstLine="640" w:firstLineChars="200"/>
        <w:rPr>
          <w:rFonts w:eastAsia="方正仿宋_GBK"/>
          <w:color w:val="000000"/>
          <w:sz w:val="32"/>
          <w:szCs w:val="32"/>
        </w:rPr>
      </w:pPr>
      <w:r>
        <w:rPr>
          <w:rFonts w:eastAsia="方正仿宋_GBK"/>
          <w:color w:val="000000"/>
          <w:sz w:val="32"/>
          <w:szCs w:val="32"/>
        </w:rPr>
        <w:t>展望期：2026-2035年</w:t>
      </w:r>
    </w:p>
    <w:p>
      <w:pPr>
        <w:spacing w:line="580" w:lineRule="exact"/>
        <w:ind w:firstLine="640" w:firstLineChars="200"/>
        <w:rPr>
          <w:rFonts w:eastAsia="方正仿宋_GBK"/>
          <w:color w:val="000000"/>
          <w:sz w:val="32"/>
          <w:szCs w:val="32"/>
        </w:rPr>
        <w:sectPr>
          <w:footerReference r:id="rId7" w:type="default"/>
          <w:footerReference r:id="rId8" w:type="even"/>
          <w:pgSz w:w="11906" w:h="16838" w:orient="landscape"/>
          <w:pgMar w:top="2098" w:right="1531" w:bottom="1984" w:left="1531" w:header="1418" w:footer="1304" w:gutter="0"/>
          <w:cols w:space="720" w:num="1"/>
          <w:docGrid w:linePitch="312" w:charSpace="0"/>
        </w:sectPr>
      </w:pPr>
    </w:p>
    <w:bookmarkEnd w:id="1"/>
    <w:bookmarkEnd w:id="2"/>
    <w:bookmarkEnd w:id="3"/>
    <w:bookmarkEnd w:id="4"/>
    <w:p>
      <w:pPr>
        <w:spacing w:line="580" w:lineRule="exact"/>
        <w:outlineLvl w:val="0"/>
        <w:rPr>
          <w:rFonts w:eastAsia="方正黑体_GBK"/>
          <w:color w:val="000000"/>
          <w:sz w:val="32"/>
          <w:szCs w:val="22"/>
        </w:rPr>
      </w:pPr>
      <w:bookmarkStart w:id="12" w:name="_Toc26638"/>
      <w:r>
        <w:rPr>
          <w:rFonts w:eastAsia="方正黑体_GBK"/>
          <w:color w:val="000000"/>
          <w:sz w:val="32"/>
          <w:szCs w:val="22"/>
        </w:rPr>
        <w:t>二、规划背景</w:t>
      </w:r>
      <w:bookmarkEnd w:id="12"/>
    </w:p>
    <w:p>
      <w:pPr>
        <w:spacing w:line="580" w:lineRule="exact"/>
        <w:ind w:firstLine="640" w:firstLineChars="200"/>
        <w:outlineLvl w:val="1"/>
        <w:rPr>
          <w:rFonts w:eastAsia="方正楷体_GBK"/>
          <w:color w:val="000000"/>
          <w:sz w:val="32"/>
          <w:szCs w:val="22"/>
        </w:rPr>
      </w:pPr>
      <w:bookmarkStart w:id="13" w:name="_Toc2857"/>
      <w:bookmarkStart w:id="14" w:name="_Toc29236"/>
      <w:bookmarkStart w:id="15" w:name="_Toc9880"/>
      <w:bookmarkStart w:id="16" w:name="_Toc8019"/>
      <w:bookmarkStart w:id="17" w:name="_Toc18505"/>
      <w:r>
        <w:rPr>
          <w:rFonts w:eastAsia="方正楷体_GBK"/>
          <w:color w:val="000000"/>
          <w:sz w:val="32"/>
          <w:szCs w:val="22"/>
        </w:rPr>
        <w:t>（一）发展</w:t>
      </w:r>
      <w:bookmarkEnd w:id="13"/>
      <w:bookmarkEnd w:id="14"/>
      <w:bookmarkEnd w:id="15"/>
      <w:bookmarkEnd w:id="16"/>
      <w:r>
        <w:rPr>
          <w:rFonts w:eastAsia="方正楷体_GBK"/>
          <w:color w:val="000000"/>
          <w:sz w:val="32"/>
          <w:szCs w:val="22"/>
        </w:rPr>
        <w:t>成就</w:t>
      </w:r>
      <w:bookmarkEnd w:id="17"/>
    </w:p>
    <w:p>
      <w:pPr>
        <w:pStyle w:val="3"/>
        <w:spacing w:line="580" w:lineRule="exact"/>
        <w:ind w:firstLine="643"/>
        <w:rPr>
          <w:rFonts w:eastAsia="方正仿宋_GBK"/>
          <w:color w:val="000000"/>
          <w:szCs w:val="32"/>
        </w:rPr>
      </w:pPr>
      <w:r>
        <w:rPr>
          <w:rFonts w:eastAsia="方正仿宋_GBK"/>
          <w:b/>
          <w:bCs/>
          <w:color w:val="000000"/>
          <w:szCs w:val="32"/>
        </w:rPr>
        <w:t>商贸消费市场持续繁荣</w:t>
      </w:r>
      <w:r>
        <w:rPr>
          <w:rFonts w:eastAsia="方正仿宋_GBK"/>
          <w:color w:val="000000"/>
          <w:szCs w:val="32"/>
        </w:rPr>
        <w:t>。老城大十字商圈持续提档升级，新建6栋商务楼宇，商业建筑面积达30万平米，形成复合商务、酒店、购物、娱乐、休闲、金融</w:t>
      </w:r>
      <w:r>
        <w:rPr>
          <w:rFonts w:eastAsia="方正仿宋_GBK"/>
          <w:color w:val="000000"/>
          <w:sz w:val="28"/>
          <w:szCs w:val="28"/>
        </w:rPr>
        <w:t>等功</w:t>
      </w:r>
      <w:r>
        <w:rPr>
          <w:rFonts w:eastAsia="方正仿宋_GBK"/>
          <w:color w:val="000000"/>
          <w:szCs w:val="32"/>
        </w:rPr>
        <w:t>能于一体的核心商圈，“凡人街”智慧商圈服务平台建成投用，成功引进商户1000余家，客流涌动集聚效应凸显。新城正阳商圈建设取得重要突破，三磊商业综合体、红星美凯龙建成投用，三磊商业综合体配套五星级酒店、奥特莱斯国际名品折扣店建成即将投用。舟白商业快速发展，形成集民族风情城、武陵山商贸批发城、国维购物中心和佳惠超市等于一体的商业聚集区。濯水古镇美食街、三岔河休闲长廊、伴山国际夜市等特色商业街区相继建成投用。全区商贸市场格局逐步形成，商贸消费活力和潜力不断释放，社会消费品零售总额由2015年的95.87亿元增长至2020年的131.10亿元。</w:t>
      </w:r>
    </w:p>
    <w:p>
      <w:pPr>
        <w:spacing w:line="580" w:lineRule="exact"/>
        <w:ind w:firstLine="642" w:firstLineChars="200"/>
        <w:rPr>
          <w:rFonts w:eastAsia="方正仿宋_GBK"/>
          <w:color w:val="000000"/>
          <w:sz w:val="32"/>
          <w:szCs w:val="32"/>
        </w:rPr>
      </w:pPr>
      <w:r>
        <w:rPr>
          <w:rFonts w:eastAsia="方正仿宋_GBK"/>
          <w:b/>
          <w:bCs/>
          <w:color w:val="000000"/>
          <w:sz w:val="32"/>
          <w:szCs w:val="32"/>
        </w:rPr>
        <w:t>全方位对外开放取得新突破</w:t>
      </w:r>
      <w:r>
        <w:rPr>
          <w:rFonts w:eastAsia="方正仿宋_GBK"/>
          <w:color w:val="000000"/>
          <w:sz w:val="32"/>
          <w:szCs w:val="32"/>
        </w:rPr>
        <w:t>。黔江海关开关运行，实现“7×24”通关全覆盖和国际贸易“单一窗口”报关。重庆保税港区在黔江设立的进口商品授权分销中心已投入使用，铁路货场加快建设，开放平台建设取得重大突破。全区进出口货物收发货人备案企业达84家，国际商标注册实现零突破，成为重庆推进西部陆海新通道建设重要节点城市。渝东南首个中新互联互通项目正式签约落地，总投资约2.5亿元。2020年，实际利用外资取得突破，实现外资增资2500万美元。2020年，外贸</w:t>
      </w:r>
      <w:r>
        <w:rPr>
          <w:rFonts w:eastAsia="方正仿宋_GBK"/>
          <w:bCs/>
          <w:color w:val="000000"/>
          <w:sz w:val="32"/>
          <w:szCs w:val="32"/>
        </w:rPr>
        <w:t>进出口总额</w:t>
      </w:r>
      <w:r>
        <w:rPr>
          <w:rFonts w:eastAsia="方正仿宋_GBK"/>
          <w:color w:val="000000"/>
          <w:sz w:val="32"/>
          <w:szCs w:val="32"/>
        </w:rPr>
        <w:t>1.</w:t>
      </w:r>
      <w:r>
        <w:rPr>
          <w:rFonts w:hint="eastAsia" w:eastAsia="方正仿宋_GBK"/>
          <w:color w:val="000000"/>
          <w:sz w:val="32"/>
          <w:szCs w:val="32"/>
        </w:rPr>
        <w:t>2</w:t>
      </w:r>
      <w:r>
        <w:rPr>
          <w:rFonts w:eastAsia="方正仿宋_GBK"/>
          <w:color w:val="000000"/>
          <w:sz w:val="32"/>
          <w:szCs w:val="32"/>
        </w:rPr>
        <w:t>亿元，是2015年的3倍，增速列全市第3位。</w:t>
      </w:r>
    </w:p>
    <w:p>
      <w:pPr>
        <w:spacing w:line="580" w:lineRule="exact"/>
        <w:ind w:firstLine="642" w:firstLineChars="200"/>
        <w:rPr>
          <w:rFonts w:eastAsia="方正仿宋_GBK"/>
          <w:color w:val="000000"/>
          <w:sz w:val="32"/>
          <w:szCs w:val="32"/>
        </w:rPr>
      </w:pPr>
      <w:r>
        <w:rPr>
          <w:rFonts w:eastAsia="方正仿宋_GBK"/>
          <w:b/>
          <w:bCs/>
          <w:color w:val="000000"/>
          <w:sz w:val="32"/>
          <w:szCs w:val="32"/>
        </w:rPr>
        <w:t>物流产业发展取得实质进展</w:t>
      </w:r>
      <w:r>
        <w:rPr>
          <w:rFonts w:eastAsia="方正仿宋_GBK"/>
          <w:color w:val="000000"/>
          <w:sz w:val="32"/>
          <w:szCs w:val="32"/>
        </w:rPr>
        <w:t>。建成渝东南地区最大的冷链物流中心，基本形成以冷藏冷贮为核心、以电子商务为辅助、多元化板块并行的冷链物流生态链。</w:t>
      </w:r>
      <w:r>
        <w:rPr>
          <w:rFonts w:eastAsia="方正仿宋_GBK"/>
          <w:bCs/>
          <w:color w:val="000000"/>
          <w:sz w:val="32"/>
          <w:szCs w:val="32"/>
        </w:rPr>
        <w:t>建成武陵山现代粮食物流中心、渝东南成品油储备中心、吉之汇国际农贸物流城，</w:t>
      </w:r>
      <w:r>
        <w:rPr>
          <w:rFonts w:eastAsia="方正仿宋_GBK"/>
          <w:color w:val="000000"/>
          <w:sz w:val="32"/>
          <w:szCs w:val="32"/>
        </w:rPr>
        <w:t>10万吨粮油仓储、5万吨石油仓储建成投用，</w:t>
      </w:r>
      <w:r>
        <w:rPr>
          <w:rFonts w:eastAsia="方正仿宋_GBK"/>
          <w:bCs/>
          <w:color w:val="000000"/>
          <w:sz w:val="32"/>
          <w:szCs w:val="32"/>
        </w:rPr>
        <w:t>物流</w:t>
      </w:r>
      <w:r>
        <w:rPr>
          <w:rFonts w:eastAsia="方正仿宋_GBK"/>
          <w:bCs/>
          <w:color w:val="000000"/>
          <w:sz w:val="32"/>
          <w:szCs w:val="32"/>
          <w:lang w:val="en"/>
        </w:rPr>
        <w:t>仓储设施面积达到</w:t>
      </w:r>
      <w:r>
        <w:rPr>
          <w:rFonts w:eastAsia="方正仿宋_GBK"/>
          <w:bCs/>
          <w:color w:val="000000"/>
          <w:sz w:val="32"/>
          <w:szCs w:val="32"/>
        </w:rPr>
        <w:t>15</w:t>
      </w:r>
      <w:r>
        <w:rPr>
          <w:rFonts w:eastAsia="方正仿宋_GBK"/>
          <w:bCs/>
          <w:color w:val="000000"/>
          <w:sz w:val="32"/>
          <w:szCs w:val="32"/>
          <w:lang w:val="en"/>
        </w:rPr>
        <w:t>万平方米</w:t>
      </w:r>
      <w:r>
        <w:rPr>
          <w:rFonts w:eastAsia="方正仿宋_GBK"/>
          <w:color w:val="000000"/>
          <w:sz w:val="32"/>
          <w:szCs w:val="32"/>
        </w:rPr>
        <w:t>。成功引进邮政、菜鸟物流等物流企业入驻，以中国邮政物流为基础构建起城乡双向物流体系，以“三通一达”等物流资源为主体成立了“耀黔物流”，城区、乡镇、村三级物流体系日趋完善。成功整合全区14个乡镇集配中心（含冻库），建成从“田间地头”到“餐桌”的冷链物流供应链体系。电商物流配送中心智能网仓、1万吨冷链物流仓库、农产品分拣线建成并启动运营，包裹日进出量达1万余件。</w:t>
      </w:r>
    </w:p>
    <w:p>
      <w:pPr>
        <w:spacing w:line="580" w:lineRule="exact"/>
        <w:ind w:firstLine="642" w:firstLineChars="200"/>
        <w:rPr>
          <w:rFonts w:eastAsia="方正仿宋_GBK"/>
          <w:color w:val="000000"/>
          <w:sz w:val="32"/>
          <w:szCs w:val="32"/>
        </w:rPr>
      </w:pPr>
      <w:r>
        <w:rPr>
          <w:rFonts w:eastAsia="方正仿宋_GBK"/>
          <w:b/>
          <w:bCs/>
          <w:color w:val="000000"/>
          <w:sz w:val="32"/>
          <w:szCs w:val="32"/>
        </w:rPr>
        <w:t>电子商务发展取得重大突破</w:t>
      </w:r>
      <w:r>
        <w:rPr>
          <w:rFonts w:eastAsia="方正仿宋_GBK"/>
          <w:color w:val="000000"/>
          <w:sz w:val="32"/>
          <w:szCs w:val="32"/>
        </w:rPr>
        <w:t>。成功申报国家电子商务进农村综合示范区，构建“一中心五体系”电子商务发展框架，建成投运2.3万平方米电商公共服务中心、30个乡镇服务站、165个村级服务点。建成渝东南电商产业园、智能化网络仓库，成功引进京东、阿里巴巴、猪八戒网、吉之汇等知名电商，培育凯松圣元、亲戚田园等本土电商企业，全区累计孵化年交易额100万元以上的电商100余家。成功推出“山韵黔江”公共品牌，成功申报“黔江脆红李”“黔江地牯牛”等农产品地理标识，建成农产品溯源系统，在商务部电子商务中期绩效评价考核中获得“优秀”等次。2020年，电子商务交易额51.3亿元，网络零售额26.48亿元。</w:t>
      </w:r>
    </w:p>
    <w:p>
      <w:pPr>
        <w:spacing w:line="580" w:lineRule="exact"/>
        <w:ind w:firstLine="642" w:firstLineChars="200"/>
        <w:rPr>
          <w:rFonts w:eastAsia="方正仿宋_GBK"/>
          <w:color w:val="000000"/>
          <w:sz w:val="32"/>
          <w:szCs w:val="32"/>
        </w:rPr>
      </w:pPr>
      <w:r>
        <w:rPr>
          <w:rFonts w:eastAsia="方正仿宋_GBK"/>
          <w:b/>
          <w:bCs/>
          <w:color w:val="000000"/>
          <w:sz w:val="32"/>
          <w:szCs w:val="32"/>
        </w:rPr>
        <w:t>会展经济成为靓丽城市名片</w:t>
      </w:r>
      <w:r>
        <w:rPr>
          <w:rFonts w:eastAsia="方正仿宋_GBK"/>
          <w:color w:val="000000"/>
          <w:sz w:val="32"/>
          <w:szCs w:val="32"/>
        </w:rPr>
        <w:t>。建成渝东南地区最大的集展览、会议、酒店、商业和办公为一体的大型综合性会议展览中心。成功打造“武陵山家居博览会”“汽车博览会”等会展品牌，组织开展了“黔江鸡杂美食文化节”“濯水非遗美食城开街”等会展活动。成功举办中国武陵山国际民俗文化旅游节、中国山地马拉松系列赛国际赛、黔江跑客节等品牌赛事节会活动，黔江跑客节跻身“重庆市体育旅游精品赛事”。成功组织原创大型民族歌舞诗剧《濯水谣》赴北京演出，组织黔江民族歌舞《云上太阳》《银色山脊》赴法国参加了“第六届法国中国电影节”，组织企业参加了“重庆美食嘉年华活动”“渝东南美食文化节”，有力推动黔江开展城市营销、树立城市品牌。</w:t>
      </w:r>
    </w:p>
    <w:p>
      <w:pPr>
        <w:spacing w:line="580" w:lineRule="exact"/>
        <w:ind w:firstLine="640" w:firstLineChars="200"/>
        <w:outlineLvl w:val="1"/>
        <w:rPr>
          <w:rFonts w:eastAsia="方正楷体_GBK"/>
          <w:color w:val="000000"/>
          <w:sz w:val="32"/>
          <w:szCs w:val="22"/>
        </w:rPr>
      </w:pPr>
      <w:bookmarkStart w:id="18" w:name="_Toc3860"/>
      <w:r>
        <w:rPr>
          <w:rFonts w:eastAsia="方正楷体_GBK"/>
          <w:color w:val="000000"/>
          <w:sz w:val="32"/>
          <w:szCs w:val="22"/>
        </w:rPr>
        <w:t>（二）存在问题</w:t>
      </w:r>
      <w:bookmarkEnd w:id="18"/>
    </w:p>
    <w:p>
      <w:pPr>
        <w:spacing w:line="580" w:lineRule="exact"/>
        <w:ind w:firstLine="642" w:firstLineChars="200"/>
        <w:rPr>
          <w:rFonts w:eastAsia="方正仿宋_GBK"/>
          <w:color w:val="000000"/>
          <w:sz w:val="32"/>
          <w:szCs w:val="32"/>
        </w:rPr>
      </w:pPr>
      <w:r>
        <w:rPr>
          <w:rFonts w:eastAsia="方正仿宋_GBK"/>
          <w:b/>
          <w:color w:val="000000"/>
          <w:sz w:val="32"/>
          <w:szCs w:val="32"/>
        </w:rPr>
        <w:t>商业形态配置有待完善</w:t>
      </w:r>
      <w:r>
        <w:rPr>
          <w:rFonts w:eastAsia="方正仿宋_GBK"/>
          <w:bCs/>
          <w:color w:val="000000"/>
          <w:sz w:val="32"/>
          <w:szCs w:val="32"/>
        </w:rPr>
        <w:t>。</w:t>
      </w:r>
      <w:r>
        <w:rPr>
          <w:rFonts w:eastAsia="方正仿宋_GBK"/>
          <w:color w:val="000000"/>
          <w:sz w:val="32"/>
          <w:szCs w:val="32"/>
        </w:rPr>
        <w:t>老城大十字智慧商圈商业配套饱和，星级酒店和高端商务配套不足。新城正阳商业商务功能配置不完善、集聚功能不明显，距离成为城市CBD仍有较大差距</w:t>
      </w:r>
      <w:r>
        <w:rPr>
          <w:rFonts w:eastAsia="方正仿宋_GBK"/>
          <w:bCs/>
          <w:color w:val="000000"/>
          <w:sz w:val="32"/>
          <w:szCs w:val="32"/>
        </w:rPr>
        <w:t>。特色</w:t>
      </w:r>
      <w:r>
        <w:rPr>
          <w:rFonts w:eastAsia="方正仿宋_GBK"/>
          <w:color w:val="000000"/>
          <w:sz w:val="32"/>
          <w:szCs w:val="32"/>
        </w:rPr>
        <w:t>商业街区主题不够鲜明，业态不丰富，特色不突出。消费形态以传统消费为主，夜间经济、首店经济、平台经济和体验经济等新业态尚处于培育阶段。城市社区农贸市场环境和管理能力有待提升。</w:t>
      </w:r>
    </w:p>
    <w:p>
      <w:pPr>
        <w:spacing w:line="580" w:lineRule="exact"/>
        <w:ind w:firstLine="642" w:firstLineChars="200"/>
        <w:rPr>
          <w:rFonts w:eastAsia="方正仿宋_GBK"/>
          <w:color w:val="000000"/>
          <w:sz w:val="32"/>
          <w:szCs w:val="32"/>
        </w:rPr>
      </w:pPr>
      <w:r>
        <w:rPr>
          <w:rFonts w:eastAsia="方正仿宋_GBK"/>
          <w:b/>
          <w:color w:val="000000"/>
          <w:sz w:val="32"/>
          <w:szCs w:val="32"/>
        </w:rPr>
        <w:t>对外开放能级有待提升</w:t>
      </w:r>
      <w:r>
        <w:rPr>
          <w:rFonts w:eastAsia="方正仿宋_GBK"/>
          <w:color w:val="000000"/>
          <w:sz w:val="32"/>
          <w:szCs w:val="32"/>
        </w:rPr>
        <w:t>。航空口岸、海关特殊监管区域等对外开放平台尚处于谋划阶段。全区无跨境商品展示体验交易中心、结算中心等服务平台。2020年，进出口总额1.</w:t>
      </w:r>
      <w:r>
        <w:rPr>
          <w:rFonts w:hint="eastAsia" w:eastAsia="方正仿宋_GBK"/>
          <w:color w:val="000000"/>
          <w:sz w:val="32"/>
          <w:szCs w:val="32"/>
        </w:rPr>
        <w:t>2</w:t>
      </w:r>
      <w:r>
        <w:rPr>
          <w:rFonts w:eastAsia="方正仿宋_GBK"/>
          <w:color w:val="000000"/>
          <w:sz w:val="32"/>
          <w:szCs w:val="32"/>
        </w:rPr>
        <w:t>亿元，仅占重庆市进出口总额的0.02%，开放能级距渝东南区域中心城市定位仍有较大差距。</w:t>
      </w:r>
    </w:p>
    <w:p>
      <w:pPr>
        <w:spacing w:line="580" w:lineRule="exact"/>
        <w:ind w:firstLine="642" w:firstLineChars="200"/>
        <w:rPr>
          <w:rFonts w:eastAsia="方正仿宋_GBK"/>
          <w:color w:val="000000"/>
          <w:sz w:val="32"/>
          <w:szCs w:val="32"/>
        </w:rPr>
      </w:pPr>
      <w:r>
        <w:rPr>
          <w:rFonts w:eastAsia="方正仿宋_GBK"/>
          <w:b/>
          <w:color w:val="000000"/>
          <w:sz w:val="32"/>
          <w:szCs w:val="32"/>
        </w:rPr>
        <w:t>商贸物流体系有待健全</w:t>
      </w:r>
      <w:r>
        <w:rPr>
          <w:rFonts w:eastAsia="方正仿宋_GBK"/>
          <w:color w:val="000000"/>
          <w:sz w:val="32"/>
          <w:szCs w:val="32"/>
        </w:rPr>
        <w:t>。物流基础设施建设滞后，渝东南航空物流中心、渝东南公路物流中心建设仍需大力推进。快递物流分拨中心、物流仓储设施不足，区、镇、村三级物流体系有待进一步完善。现代化冷链物流体系尚不完善，尤其是农产品专用冷链物流供给能力不足，配送体系不完善。应急物流体系亟待完善，多式联运发展有待加强。物流公共信息平台建设滞后，货物和运输方式不能高效匹配，物流成本偏高。</w:t>
      </w:r>
    </w:p>
    <w:p>
      <w:pPr>
        <w:spacing w:line="580" w:lineRule="exact"/>
        <w:ind w:firstLine="642" w:firstLineChars="200"/>
        <w:rPr>
          <w:rFonts w:eastAsia="方正仿宋_GBK"/>
          <w:color w:val="000000"/>
          <w:kern w:val="0"/>
          <w:sz w:val="32"/>
          <w:szCs w:val="32"/>
        </w:rPr>
      </w:pPr>
      <w:r>
        <w:rPr>
          <w:rFonts w:eastAsia="方正仿宋_GBK"/>
          <w:b/>
          <w:bCs/>
          <w:color w:val="000000"/>
          <w:sz w:val="32"/>
          <w:szCs w:val="32"/>
        </w:rPr>
        <w:t>商贸物流要素保障不足</w:t>
      </w:r>
      <w:r>
        <w:rPr>
          <w:rFonts w:eastAsia="方正仿宋_GBK"/>
          <w:color w:val="000000"/>
          <w:sz w:val="32"/>
          <w:szCs w:val="32"/>
        </w:rPr>
        <w:t>。商贸物流发展专项资金缺乏，产业培育、企业补助等方面的资金较少。全区缺乏大型物流龙头骨干企业，严重缺乏运营管理、电子商务和配送组织等方面的专业人才和复合型商贸物流人才。</w:t>
      </w:r>
      <w:r>
        <w:rPr>
          <w:rFonts w:eastAsia="方正仿宋_GBK"/>
          <w:color w:val="000000"/>
          <w:kern w:val="0"/>
          <w:sz w:val="32"/>
          <w:szCs w:val="32"/>
        </w:rPr>
        <w:t>全区无商业街区管理机构，</w:t>
      </w:r>
      <w:r>
        <w:rPr>
          <w:rFonts w:eastAsia="方正仿宋_GBK"/>
          <w:color w:val="000000"/>
          <w:sz w:val="32"/>
          <w:szCs w:val="32"/>
        </w:rPr>
        <w:t>同质化倾向突出</w:t>
      </w:r>
      <w:r>
        <w:rPr>
          <w:rFonts w:eastAsia="方正仿宋_GBK"/>
          <w:color w:val="000000"/>
          <w:kern w:val="0"/>
          <w:sz w:val="32"/>
          <w:szCs w:val="32"/>
        </w:rPr>
        <w:t>。</w:t>
      </w:r>
      <w:r>
        <w:rPr>
          <w:rFonts w:eastAsia="方正仿宋_GBK"/>
          <w:color w:val="000000"/>
          <w:sz w:val="32"/>
          <w:szCs w:val="32"/>
        </w:rPr>
        <w:t>专业市场布局缺乏规划引领，同质化现象严重。</w:t>
      </w:r>
      <w:r>
        <w:rPr>
          <w:rFonts w:eastAsia="方正仿宋_GBK"/>
          <w:color w:val="000000"/>
          <w:kern w:val="0"/>
          <w:sz w:val="32"/>
          <w:szCs w:val="32"/>
        </w:rPr>
        <w:t>部门间尚未形成强有力的商贸物流发展协同配合机制。</w:t>
      </w:r>
    </w:p>
    <w:p>
      <w:pPr>
        <w:spacing w:line="580" w:lineRule="exact"/>
        <w:ind w:firstLine="640" w:firstLineChars="200"/>
        <w:outlineLvl w:val="1"/>
        <w:rPr>
          <w:rFonts w:eastAsia="方正楷体_GBK"/>
          <w:color w:val="000000"/>
          <w:sz w:val="32"/>
          <w:szCs w:val="22"/>
        </w:rPr>
      </w:pPr>
      <w:bookmarkStart w:id="19" w:name="_Toc17768"/>
      <w:bookmarkStart w:id="20" w:name="_Toc14700"/>
      <w:bookmarkStart w:id="21" w:name="_Toc12280"/>
      <w:bookmarkStart w:id="22" w:name="_Toc354"/>
      <w:bookmarkStart w:id="23" w:name="_Toc31996"/>
      <w:r>
        <w:rPr>
          <w:rFonts w:eastAsia="方正楷体_GBK"/>
          <w:color w:val="000000"/>
          <w:sz w:val="32"/>
          <w:szCs w:val="22"/>
        </w:rPr>
        <w:t>（三）发展机遇</w:t>
      </w:r>
      <w:bookmarkEnd w:id="19"/>
      <w:bookmarkEnd w:id="20"/>
      <w:bookmarkEnd w:id="21"/>
      <w:bookmarkEnd w:id="22"/>
      <w:bookmarkEnd w:id="23"/>
    </w:p>
    <w:p>
      <w:pPr>
        <w:spacing w:line="580" w:lineRule="exact"/>
        <w:ind w:firstLine="642" w:firstLineChars="200"/>
        <w:rPr>
          <w:rFonts w:eastAsia="方正仿宋_GBK"/>
          <w:b/>
          <w:bCs/>
          <w:color w:val="000000"/>
          <w:kern w:val="0"/>
          <w:sz w:val="32"/>
          <w:szCs w:val="32"/>
        </w:rPr>
      </w:pPr>
      <w:r>
        <w:rPr>
          <w:rFonts w:eastAsia="方正仿宋_GBK"/>
          <w:b/>
          <w:bCs/>
          <w:color w:val="000000"/>
          <w:kern w:val="0"/>
          <w:sz w:val="32"/>
          <w:szCs w:val="32"/>
        </w:rPr>
        <w:t>1.以国内大循环为主体、国内国际双循环相互促进的新发展格局，为黔江打造武陵山商贸物流中心带来时代机遇</w:t>
      </w:r>
    </w:p>
    <w:p>
      <w:pPr>
        <w:spacing w:line="580" w:lineRule="exact"/>
        <w:ind w:firstLine="640" w:firstLineChars="200"/>
        <w:rPr>
          <w:rFonts w:eastAsia="方正仿宋_GBK"/>
          <w:color w:val="000000"/>
          <w:kern w:val="0"/>
          <w:sz w:val="32"/>
          <w:szCs w:val="32"/>
        </w:rPr>
      </w:pPr>
      <w:r>
        <w:rPr>
          <w:rFonts w:eastAsia="方正仿宋_GBK"/>
          <w:color w:val="000000"/>
          <w:kern w:val="0"/>
          <w:sz w:val="32"/>
          <w:szCs w:val="32"/>
        </w:rPr>
        <w:t>在经济全球化发展新形势下提出大循环、双循环，体现了后疫情时代国际经济格局和产业链、供应链运行方式的加快改变，更体现着中国进入新发展阶段后需求规模、产业空间布局调整的特征与全新的发展机遇。进入新时期后，开放型经济体制改革日趋深化；内陆沿边开放逐步扩大，协调发展贸易、投资、技术创新等，积极</w:t>
      </w:r>
      <w:r>
        <w:rPr>
          <w:rFonts w:hint="eastAsia" w:eastAsia="方正仿宋_GBK"/>
          <w:color w:val="000000"/>
          <w:kern w:val="0"/>
          <w:sz w:val="32"/>
          <w:szCs w:val="32"/>
        </w:rPr>
        <w:t>推进</w:t>
      </w:r>
      <w:r>
        <w:rPr>
          <w:rFonts w:eastAsia="方正仿宋_GBK"/>
          <w:color w:val="000000"/>
          <w:kern w:val="0"/>
          <w:sz w:val="32"/>
          <w:szCs w:val="32"/>
        </w:rPr>
        <w:t>互通互联基础设施建设，</w:t>
      </w:r>
      <w:r>
        <w:rPr>
          <w:rFonts w:hint="eastAsia" w:eastAsia="方正仿宋_GBK"/>
          <w:color w:val="000000"/>
          <w:kern w:val="0"/>
          <w:sz w:val="32"/>
          <w:szCs w:val="32"/>
        </w:rPr>
        <w:t>助推</w:t>
      </w:r>
      <w:r>
        <w:rPr>
          <w:rFonts w:eastAsia="方正仿宋_GBK"/>
          <w:color w:val="000000"/>
          <w:kern w:val="0"/>
          <w:sz w:val="32"/>
          <w:szCs w:val="32"/>
        </w:rPr>
        <w:t>黔江</w:t>
      </w:r>
      <w:r>
        <w:rPr>
          <w:rFonts w:hint="eastAsia" w:eastAsia="方正仿宋_GBK"/>
          <w:color w:val="000000"/>
          <w:kern w:val="0"/>
          <w:sz w:val="32"/>
          <w:szCs w:val="32"/>
        </w:rPr>
        <w:t>形成</w:t>
      </w:r>
      <w:r>
        <w:rPr>
          <w:rFonts w:eastAsia="方正仿宋_GBK"/>
          <w:color w:val="000000"/>
          <w:kern w:val="0"/>
          <w:sz w:val="32"/>
          <w:szCs w:val="32"/>
        </w:rPr>
        <w:t>全方位开放新格局，商贸物流行业也将会出现新的增长。国家发展改革委等二十三部门联合印发《关于促进消费扩容提质加快形成强大国内市场的实施意见》明确提出，着力建设城乡融合消费网络、加快构建“智能+”消费生态体系，以扩大内需助力形成强大国内市场，将为商贸物流业发展增创新动力。</w:t>
      </w:r>
    </w:p>
    <w:p>
      <w:pPr>
        <w:pStyle w:val="149"/>
        <w:spacing w:line="580" w:lineRule="exact"/>
        <w:ind w:firstLine="642" w:firstLineChars="200"/>
        <w:rPr>
          <w:rStyle w:val="29"/>
          <w:rFonts w:eastAsia="方正仿宋_GBK"/>
          <w:color w:val="000000"/>
        </w:rPr>
      </w:pPr>
      <w:r>
        <w:rPr>
          <w:rFonts w:eastAsia="方正仿宋_GBK"/>
          <w:b/>
          <w:color w:val="000000"/>
          <w:sz w:val="32"/>
          <w:szCs w:val="32"/>
        </w:rPr>
        <w:t>2.新时代</w:t>
      </w:r>
      <w:r>
        <w:rPr>
          <w:rFonts w:eastAsia="方正仿宋_GBK"/>
          <w:b/>
          <w:color w:val="000000"/>
          <w:kern w:val="0"/>
          <w:sz w:val="32"/>
          <w:szCs w:val="32"/>
        </w:rPr>
        <w:t>西部大开发</w:t>
      </w:r>
      <w:r>
        <w:rPr>
          <w:rFonts w:eastAsia="方正仿宋_GBK"/>
          <w:b/>
          <w:bCs/>
          <w:color w:val="000000"/>
          <w:kern w:val="0"/>
          <w:sz w:val="32"/>
          <w:szCs w:val="32"/>
        </w:rPr>
        <w:t>和</w:t>
      </w:r>
      <w:r>
        <w:rPr>
          <w:rFonts w:eastAsia="方正仿宋_GBK"/>
          <w:b/>
          <w:color w:val="000000"/>
          <w:kern w:val="0"/>
          <w:sz w:val="32"/>
          <w:szCs w:val="32"/>
        </w:rPr>
        <w:t>西部陆海新通道建设为黔江商贸物流发展创造了</w:t>
      </w:r>
      <w:r>
        <w:rPr>
          <w:rFonts w:eastAsia="方正仿宋_GBK"/>
          <w:b/>
          <w:bCs/>
          <w:color w:val="000000"/>
          <w:kern w:val="0"/>
          <w:sz w:val="32"/>
          <w:szCs w:val="32"/>
        </w:rPr>
        <w:t>历史机遇</w:t>
      </w:r>
    </w:p>
    <w:p>
      <w:pPr>
        <w:pStyle w:val="149"/>
        <w:spacing w:line="580" w:lineRule="exact"/>
        <w:ind w:firstLine="640" w:firstLineChars="200"/>
        <w:rPr>
          <w:rFonts w:eastAsia="方正仿宋_GBK"/>
          <w:b/>
          <w:bCs/>
          <w:color w:val="000000"/>
          <w:kern w:val="0"/>
          <w:sz w:val="32"/>
          <w:szCs w:val="32"/>
        </w:rPr>
      </w:pPr>
      <w:r>
        <w:rPr>
          <w:rFonts w:eastAsia="方正仿宋_GBK"/>
          <w:color w:val="000000"/>
          <w:kern w:val="0"/>
          <w:sz w:val="32"/>
          <w:szCs w:val="32"/>
        </w:rPr>
        <w:t>黔江位于西部地区，</w:t>
      </w:r>
      <w:r>
        <w:rPr>
          <w:rFonts w:eastAsia="方正仿宋_GBK"/>
          <w:bCs/>
          <w:color w:val="000000"/>
          <w:kern w:val="0"/>
          <w:sz w:val="32"/>
          <w:szCs w:val="32"/>
        </w:rPr>
        <w:t>处于西部陆海新通道规划三条主通道的东线出海通道重要节点位置。中共中央 国务院印发的</w:t>
      </w:r>
      <w:r>
        <w:rPr>
          <w:rFonts w:eastAsia="方正仿宋_GBK"/>
          <w:color w:val="000000"/>
          <w:kern w:val="0"/>
          <w:sz w:val="32"/>
          <w:szCs w:val="32"/>
        </w:rPr>
        <w:t>《</w:t>
      </w:r>
      <w:r>
        <w:rPr>
          <w:rFonts w:eastAsia="方正仿宋_GBK"/>
          <w:bCs/>
          <w:color w:val="000000"/>
          <w:kern w:val="0"/>
          <w:sz w:val="32"/>
          <w:szCs w:val="32"/>
        </w:rPr>
        <w:t>关于</w:t>
      </w:r>
      <w:r>
        <w:rPr>
          <w:rFonts w:eastAsia="方正仿宋_GBK"/>
          <w:color w:val="000000"/>
          <w:kern w:val="0"/>
          <w:sz w:val="32"/>
          <w:szCs w:val="32"/>
        </w:rPr>
        <w:t>新时代推进西部大开发形成新格局的指导意见》明确，强化开放大通道建设，积极实施中新（重庆）战略性互联互通示范项目，积极发展多式联运，加快铁路、公路与港口、园区连接线建设，进一步完善口岸、跨境运输和信息通道等开放基础设施，加快建设开放物流网络和跨境邮递体系。国家发展改革委出台的《西部陆海新通道总体规划》发展目标明确，到2025年西部地区物流枢纽分工更明确、设施更完善，重庆内陆口岸高地基本建成，通关便利化水平和物流效率大幅提升，更好引领区域协调发展和对外开放格局。</w:t>
      </w:r>
    </w:p>
    <w:p>
      <w:pPr>
        <w:pStyle w:val="149"/>
        <w:spacing w:line="580" w:lineRule="exact"/>
        <w:ind w:firstLine="642" w:firstLineChars="200"/>
        <w:rPr>
          <w:rFonts w:eastAsia="方正仿宋_GBK"/>
          <w:color w:val="000000"/>
          <w:sz w:val="32"/>
          <w:szCs w:val="32"/>
        </w:rPr>
      </w:pPr>
      <w:r>
        <w:rPr>
          <w:rFonts w:eastAsia="方正仿宋_GBK"/>
          <w:b/>
          <w:bCs/>
          <w:color w:val="000000"/>
          <w:kern w:val="0"/>
          <w:sz w:val="32"/>
          <w:szCs w:val="32"/>
        </w:rPr>
        <w:t>3.</w:t>
      </w:r>
      <w:r>
        <w:rPr>
          <w:rFonts w:eastAsia="方正仿宋_GBK"/>
          <w:b/>
          <w:bCs/>
          <w:color w:val="000000"/>
          <w:sz w:val="32"/>
          <w:szCs w:val="32"/>
        </w:rPr>
        <w:t>成渝地区双城经济圈建设和</w:t>
      </w:r>
      <w:r>
        <w:rPr>
          <w:rFonts w:hint="eastAsia" w:eastAsia="方正仿宋_GBK"/>
          <w:b/>
          <w:bCs/>
          <w:color w:val="000000"/>
          <w:sz w:val="32"/>
          <w:szCs w:val="32"/>
        </w:rPr>
        <w:t>全市</w:t>
      </w:r>
      <w:r>
        <w:rPr>
          <w:rFonts w:eastAsia="方正仿宋_GBK"/>
          <w:b/>
          <w:bCs/>
          <w:color w:val="000000"/>
          <w:sz w:val="32"/>
          <w:szCs w:val="32"/>
        </w:rPr>
        <w:t>“一区两群”协调发展</w:t>
      </w:r>
      <w:r>
        <w:rPr>
          <w:rFonts w:eastAsia="方正仿宋_GBK"/>
          <w:b/>
          <w:color w:val="000000"/>
          <w:kern w:val="0"/>
          <w:sz w:val="32"/>
          <w:szCs w:val="32"/>
        </w:rPr>
        <w:t>为黔江商贸物流发展创造了</w:t>
      </w:r>
      <w:r>
        <w:rPr>
          <w:rFonts w:eastAsia="方正仿宋_GBK"/>
          <w:b/>
          <w:bCs/>
          <w:color w:val="000000"/>
          <w:sz w:val="32"/>
          <w:szCs w:val="32"/>
        </w:rPr>
        <w:t>战略机遇</w:t>
      </w:r>
    </w:p>
    <w:p>
      <w:pPr>
        <w:pStyle w:val="149"/>
        <w:spacing w:line="580" w:lineRule="exact"/>
        <w:ind w:firstLine="640" w:firstLineChars="200"/>
        <w:rPr>
          <w:rFonts w:eastAsia="方正仿宋_GBK"/>
          <w:color w:val="000000"/>
          <w:sz w:val="32"/>
          <w:szCs w:val="32"/>
        </w:rPr>
      </w:pPr>
      <w:r>
        <w:rPr>
          <w:rFonts w:eastAsia="方正仿宋_GBK"/>
          <w:color w:val="000000"/>
          <w:sz w:val="32"/>
          <w:szCs w:val="32"/>
        </w:rPr>
        <w:t>随着成渝地区双城经济圈建设战略和</w:t>
      </w:r>
      <w:r>
        <w:rPr>
          <w:rFonts w:hint="eastAsia" w:eastAsia="方正仿宋_GBK"/>
          <w:color w:val="000000"/>
          <w:sz w:val="32"/>
          <w:szCs w:val="32"/>
        </w:rPr>
        <w:t>全市</w:t>
      </w:r>
      <w:r>
        <w:rPr>
          <w:rFonts w:eastAsia="方正仿宋_GBK"/>
          <w:color w:val="000000"/>
          <w:sz w:val="32"/>
          <w:szCs w:val="32"/>
        </w:rPr>
        <w:t>“一区两群”协调发展战略的落实部署，黔江商贸物流发展必将迎来更大新机遇。黔江是国市定位的渝东南区域中心城市，</w:t>
      </w:r>
      <w:r>
        <w:rPr>
          <w:rFonts w:eastAsia="方正仿宋_GBK"/>
          <w:bCs/>
          <w:color w:val="000000"/>
          <w:kern w:val="0"/>
          <w:sz w:val="32"/>
          <w:szCs w:val="32"/>
        </w:rPr>
        <w:t>处于西部陆海新通道规划三条主通道的东线出海通道重要节点位置，</w:t>
      </w:r>
      <w:r>
        <w:rPr>
          <w:rFonts w:eastAsia="方正仿宋_GBK"/>
          <w:color w:val="000000"/>
          <w:sz w:val="32"/>
          <w:szCs w:val="32"/>
        </w:rPr>
        <w:t>是合作交流的前沿阵地，应在服务全局中找准发展定位、把握发展契机，因势而谋、因时而动，全面推动武陵山区协同发展，全面融入成渝地区双城经济圈建设，在联合招商、集聚创新要素、共享公共平台等方面形成可推广</w:t>
      </w:r>
      <w:r>
        <w:rPr>
          <w:rFonts w:hint="eastAsia" w:eastAsia="方正仿宋_GBK"/>
          <w:color w:val="000000"/>
          <w:sz w:val="32"/>
          <w:szCs w:val="32"/>
        </w:rPr>
        <w:t>、</w:t>
      </w:r>
      <w:r>
        <w:rPr>
          <w:rFonts w:eastAsia="方正仿宋_GBK"/>
          <w:color w:val="000000"/>
          <w:sz w:val="32"/>
          <w:szCs w:val="32"/>
        </w:rPr>
        <w:t>可复制的经验，为融入成渝</w:t>
      </w:r>
      <w:r>
        <w:rPr>
          <w:rFonts w:hint="eastAsia" w:eastAsia="方正仿宋_GBK"/>
          <w:color w:val="000000"/>
          <w:sz w:val="32"/>
          <w:szCs w:val="32"/>
        </w:rPr>
        <w:t>地区</w:t>
      </w:r>
      <w:r>
        <w:rPr>
          <w:rFonts w:eastAsia="方正仿宋_GBK"/>
          <w:color w:val="000000"/>
          <w:sz w:val="32"/>
          <w:szCs w:val="32"/>
        </w:rPr>
        <w:t>双城经济圈建设发挥示范作用，是贯彻实施成渝</w:t>
      </w:r>
      <w:r>
        <w:rPr>
          <w:rFonts w:hint="eastAsia" w:eastAsia="方正仿宋_GBK"/>
          <w:color w:val="000000"/>
          <w:sz w:val="32"/>
          <w:szCs w:val="32"/>
        </w:rPr>
        <w:t>地区</w:t>
      </w:r>
      <w:r>
        <w:rPr>
          <w:rFonts w:eastAsia="方正仿宋_GBK"/>
          <w:color w:val="000000"/>
          <w:sz w:val="32"/>
          <w:szCs w:val="32"/>
        </w:rPr>
        <w:t>双城经济圈建设战略的重要组成部分。</w:t>
      </w:r>
    </w:p>
    <w:p>
      <w:pPr>
        <w:pStyle w:val="149"/>
        <w:spacing w:line="580" w:lineRule="exact"/>
        <w:ind w:firstLine="642" w:firstLineChars="200"/>
        <w:rPr>
          <w:rFonts w:eastAsia="方正仿宋_GBK"/>
          <w:b/>
          <w:bCs/>
          <w:color w:val="000000"/>
          <w:kern w:val="0"/>
          <w:sz w:val="32"/>
          <w:szCs w:val="32"/>
        </w:rPr>
      </w:pPr>
      <w:r>
        <w:rPr>
          <w:rFonts w:eastAsia="方正仿宋_GBK"/>
          <w:b/>
          <w:bCs/>
          <w:color w:val="000000"/>
          <w:kern w:val="0"/>
          <w:sz w:val="32"/>
          <w:szCs w:val="32"/>
        </w:rPr>
        <w:t>4.重庆加快建设国际消费中心城市</w:t>
      </w:r>
      <w:r>
        <w:rPr>
          <w:rFonts w:eastAsia="方正仿宋_GBK"/>
          <w:b/>
          <w:color w:val="000000"/>
          <w:kern w:val="0"/>
          <w:sz w:val="32"/>
          <w:szCs w:val="32"/>
        </w:rPr>
        <w:t>为黔江商贸物流发展创造了市场</w:t>
      </w:r>
      <w:r>
        <w:rPr>
          <w:rFonts w:eastAsia="方正仿宋_GBK"/>
          <w:b/>
          <w:bCs/>
          <w:color w:val="000000"/>
          <w:kern w:val="0"/>
          <w:sz w:val="32"/>
          <w:szCs w:val="32"/>
        </w:rPr>
        <w:t>机遇</w:t>
      </w:r>
    </w:p>
    <w:p>
      <w:pPr>
        <w:pStyle w:val="149"/>
        <w:spacing w:line="580" w:lineRule="exact"/>
        <w:ind w:firstLine="640" w:firstLineChars="200"/>
        <w:rPr>
          <w:rFonts w:eastAsia="方正仿宋_GBK"/>
          <w:color w:val="000000"/>
          <w:kern w:val="0"/>
          <w:sz w:val="32"/>
          <w:szCs w:val="32"/>
        </w:rPr>
      </w:pPr>
      <w:r>
        <w:rPr>
          <w:rFonts w:eastAsia="方正仿宋_GBK"/>
          <w:color w:val="000000"/>
          <w:kern w:val="0"/>
          <w:sz w:val="32"/>
          <w:szCs w:val="32"/>
        </w:rPr>
        <w:t>黔江是国市定位的渝东南区域中心城市，</w:t>
      </w:r>
      <w:r>
        <w:rPr>
          <w:rFonts w:eastAsia="方正仿宋_GBK"/>
          <w:color w:val="000000"/>
          <w:sz w:val="32"/>
          <w:szCs w:val="22"/>
        </w:rPr>
        <w:t>非遗文化、民俗文化、美食文化、生态旅游资源丰富。</w:t>
      </w:r>
      <w:r>
        <w:rPr>
          <w:rFonts w:eastAsia="方正仿宋_GBK"/>
          <w:color w:val="000000"/>
          <w:kern w:val="0"/>
          <w:sz w:val="32"/>
          <w:szCs w:val="32"/>
        </w:rPr>
        <w:t>国务院办公厅相继出台《关于加快发展流通促进商业消费的意见》《关于培育建设国际消费中心城市的指导意见》等文件，提出开展国际消费中心城市建设试点。重庆市为抢抓新一轮国内消费升级和由中国消费升级带动的全球消费结构调整的重大机遇，提出要建成具有全球影响力的国际消费中心城市，这为黔江发挥资源优势与区位优势打造武陵山商贸物流中心提供了广阔市场空间和政策支撑，将有助于黔江扩大对外开放，对经济结构、生产布局及市场取向等产生积极影响，并在参与国际消费中心城市的建设中创造出自身发展的新机遇。</w:t>
      </w:r>
    </w:p>
    <w:p>
      <w:pPr>
        <w:widowControl/>
        <w:spacing w:line="580" w:lineRule="exact"/>
        <w:ind w:firstLine="642" w:firstLineChars="200"/>
        <w:rPr>
          <w:rFonts w:eastAsia="方正仿宋_GBK"/>
          <w:color w:val="000000"/>
        </w:rPr>
      </w:pPr>
      <w:r>
        <w:rPr>
          <w:rFonts w:eastAsia="方正仿宋_GBK"/>
          <w:b/>
          <w:color w:val="000000"/>
          <w:sz w:val="32"/>
          <w:szCs w:val="32"/>
        </w:rPr>
        <w:t>5.全区加快建设渝东南区域中心城市，</w:t>
      </w:r>
      <w:r>
        <w:rPr>
          <w:rFonts w:eastAsia="方正仿宋_GBK"/>
          <w:b/>
          <w:bCs/>
          <w:color w:val="000000"/>
          <w:kern w:val="0"/>
          <w:sz w:val="32"/>
          <w:szCs w:val="32"/>
        </w:rPr>
        <w:t>为黔江打造武陵山商贸物流中心提供方向指引</w:t>
      </w:r>
    </w:p>
    <w:p>
      <w:pPr>
        <w:pStyle w:val="149"/>
        <w:spacing w:line="580" w:lineRule="exact"/>
        <w:ind w:firstLine="640" w:firstLineChars="200"/>
        <w:rPr>
          <w:rFonts w:eastAsia="方正仿宋_GBK"/>
          <w:color w:val="000000"/>
          <w:kern w:val="0"/>
          <w:sz w:val="32"/>
          <w:szCs w:val="32"/>
        </w:rPr>
      </w:pPr>
      <w:r>
        <w:rPr>
          <w:rFonts w:eastAsia="方正仿宋_GBK"/>
          <w:color w:val="000000"/>
          <w:kern w:val="0"/>
          <w:sz w:val="32"/>
          <w:szCs w:val="32"/>
        </w:rPr>
        <w:t>重庆市渝东南武陵山区城镇群工作座谈会提出打造“一心、一堡、四节点”城镇空间布局，赋予黔江“渝东南中心、重庆次中心”的重大使命。中共重庆市委办公厅重庆</w:t>
      </w:r>
      <w:r>
        <w:rPr>
          <w:rFonts w:hint="eastAsia" w:eastAsia="方正仿宋_GBK"/>
          <w:color w:val="000000"/>
          <w:kern w:val="0"/>
          <w:sz w:val="32"/>
          <w:szCs w:val="32"/>
          <w:lang w:eastAsia="zh-CN"/>
        </w:rPr>
        <w:t>市</w:t>
      </w:r>
      <w:bookmarkStart w:id="198" w:name="_GoBack"/>
      <w:bookmarkEnd w:id="198"/>
      <w:r>
        <w:rPr>
          <w:rFonts w:eastAsia="方正仿宋_GBK"/>
          <w:color w:val="000000"/>
          <w:kern w:val="0"/>
          <w:sz w:val="32"/>
          <w:szCs w:val="32"/>
        </w:rPr>
        <w:t>人民政府办公厅出台《渝东南武陵山区城镇群建设行动方案》明确要推进黔江建设渝东南区域中心城市，支持黔江建成武陵山区综合交通枢纽、特色产业集聚区、科技创新中心、公共服务高地和渝东南重要经济中心，建设重要的绿色工业和生态农业基地，形成具有民俗特色的休闲旅游康养度假目的地、文旅融合发展先行区和武陵山旅游集散中心，建成“中国峡谷城</w:t>
      </w:r>
      <w:r>
        <w:rPr>
          <w:rFonts w:eastAsia="微软雅黑"/>
          <w:color w:val="000000"/>
          <w:kern w:val="0"/>
          <w:sz w:val="32"/>
          <w:szCs w:val="32"/>
        </w:rPr>
        <w:t>･</w:t>
      </w:r>
      <w:r>
        <w:rPr>
          <w:rFonts w:eastAsia="方正仿宋_GBK"/>
          <w:color w:val="000000"/>
          <w:kern w:val="0"/>
          <w:sz w:val="32"/>
          <w:szCs w:val="32"/>
        </w:rPr>
        <w:t>武陵会客厅”，联动湖北恩施、湖南张家界和湘西协同发展，这一功能定位为黔江打造武陵山商贸物流中心明确了发展方向。</w:t>
      </w:r>
    </w:p>
    <w:p>
      <w:pPr>
        <w:spacing w:line="580" w:lineRule="exact"/>
        <w:ind w:firstLine="640" w:firstLineChars="200"/>
        <w:outlineLvl w:val="1"/>
        <w:rPr>
          <w:rFonts w:eastAsia="方正楷体_GBK"/>
          <w:color w:val="000000"/>
          <w:sz w:val="32"/>
          <w:szCs w:val="22"/>
        </w:rPr>
      </w:pPr>
      <w:bookmarkStart w:id="24" w:name="_Toc11609"/>
      <w:bookmarkStart w:id="25" w:name="_Toc21232"/>
      <w:bookmarkStart w:id="26" w:name="_Toc17733"/>
      <w:bookmarkStart w:id="27" w:name="_Toc32449"/>
      <w:bookmarkStart w:id="28" w:name="_Toc26078"/>
      <w:r>
        <w:rPr>
          <w:rFonts w:eastAsia="方正楷体_GBK"/>
          <w:color w:val="000000"/>
          <w:sz w:val="32"/>
          <w:szCs w:val="22"/>
        </w:rPr>
        <w:t>（四）面临挑战</w:t>
      </w:r>
      <w:bookmarkEnd w:id="24"/>
      <w:bookmarkEnd w:id="25"/>
      <w:bookmarkEnd w:id="26"/>
      <w:bookmarkEnd w:id="27"/>
      <w:bookmarkEnd w:id="28"/>
    </w:p>
    <w:p>
      <w:pPr>
        <w:spacing w:line="580" w:lineRule="exact"/>
        <w:ind w:firstLine="642" w:firstLineChars="200"/>
        <w:rPr>
          <w:rFonts w:eastAsia="方正仿宋_GBK"/>
          <w:bCs/>
          <w:color w:val="000000"/>
          <w:sz w:val="32"/>
          <w:szCs w:val="32"/>
        </w:rPr>
      </w:pPr>
      <w:r>
        <w:rPr>
          <w:rFonts w:eastAsia="方正仿宋_GBK"/>
          <w:b/>
          <w:color w:val="000000"/>
          <w:sz w:val="32"/>
          <w:szCs w:val="32"/>
        </w:rPr>
        <w:t>国际环境不确定性显著增强带来的影响。</w:t>
      </w:r>
      <w:r>
        <w:rPr>
          <w:rFonts w:eastAsia="方正仿宋_GBK"/>
          <w:bCs/>
          <w:color w:val="000000"/>
          <w:sz w:val="32"/>
          <w:szCs w:val="32"/>
        </w:rPr>
        <w:t>从国际来看，国际环境更加不稳定不确定，中美战略博弈是牵动变局的关键因素，一些发达国家进一步构筑技术壁垒和绿色壁垒，国际经贸规则面临重构，全球经济增长动能减弱，外需乏力成为常态，贸易保护主义不断强化，对未来出口增长形成较大障碍，导致国内经济下行压力加大，也将冲击全区的外向型经济发展。</w:t>
      </w:r>
    </w:p>
    <w:p>
      <w:pPr>
        <w:spacing w:line="580" w:lineRule="exact"/>
        <w:ind w:firstLine="642" w:firstLineChars="200"/>
        <w:rPr>
          <w:rFonts w:eastAsia="方正仿宋_GBK"/>
          <w:color w:val="000000"/>
          <w:sz w:val="32"/>
          <w:szCs w:val="32"/>
        </w:rPr>
      </w:pPr>
      <w:r>
        <w:rPr>
          <w:rFonts w:eastAsia="方正仿宋_GBK"/>
          <w:b/>
          <w:color w:val="000000"/>
          <w:sz w:val="32"/>
          <w:szCs w:val="32"/>
        </w:rPr>
        <w:t>区域经济竞争形势下面临的压力</w:t>
      </w:r>
      <w:r>
        <w:rPr>
          <w:rFonts w:eastAsia="方正仿宋_GBK"/>
          <w:color w:val="000000"/>
          <w:sz w:val="32"/>
          <w:szCs w:val="32"/>
        </w:rPr>
        <w:t>。在成渝地区双城经济圈建设和</w:t>
      </w:r>
      <w:r>
        <w:rPr>
          <w:rFonts w:hint="eastAsia" w:eastAsia="方正仿宋_GBK"/>
          <w:color w:val="000000"/>
          <w:sz w:val="32"/>
          <w:szCs w:val="32"/>
        </w:rPr>
        <w:t>全市</w:t>
      </w:r>
      <w:r>
        <w:rPr>
          <w:rFonts w:eastAsia="方正仿宋_GBK"/>
          <w:color w:val="000000"/>
          <w:sz w:val="32"/>
          <w:szCs w:val="32"/>
        </w:rPr>
        <w:t>“一区两群”协调发展的背景下，区域内部竞争将会更加激烈，尤其是与毗连的秀山相比，在土地开发条件、毗邻省份数量、边贸物流等方面竞争优势不明显，城市资源争夺的强度将进一步加大。随着西部大开发、投资补短板等战略举措的逐步落实，基础设施、基本公共服务领域的投资力度持续加大，区域间商贸服务均等化程度明显提高，加之区域间通达程度显著改善，周边区县新兴商圈兴起，黔江区原有消费人群存在稀释外流的可能，商贸流通业要保持全面较快增长面临较大压力。</w:t>
      </w:r>
    </w:p>
    <w:p>
      <w:pPr>
        <w:spacing w:line="580" w:lineRule="exact"/>
        <w:outlineLvl w:val="0"/>
        <w:rPr>
          <w:rFonts w:eastAsia="方正仿宋_GBK"/>
          <w:color w:val="000000"/>
          <w:sz w:val="32"/>
          <w:szCs w:val="22"/>
        </w:rPr>
        <w:sectPr>
          <w:footerReference r:id="rId9" w:type="default"/>
          <w:pgSz w:w="11906" w:h="16838" w:orient="landscape"/>
          <w:pgMar w:top="2098" w:right="1531" w:bottom="1984" w:left="1531" w:header="1418" w:footer="1304" w:gutter="0"/>
          <w:cols w:space="720" w:num="1"/>
          <w:docGrid w:linePitch="312" w:charSpace="0"/>
        </w:sectPr>
      </w:pPr>
      <w:bookmarkStart w:id="29" w:name="_Toc22124"/>
      <w:bookmarkStart w:id="30" w:name="_Toc8497"/>
      <w:bookmarkStart w:id="31" w:name="_Toc20968"/>
      <w:bookmarkStart w:id="32" w:name="_Toc16103"/>
    </w:p>
    <w:p>
      <w:pPr>
        <w:spacing w:line="580" w:lineRule="exact"/>
        <w:outlineLvl w:val="0"/>
        <w:rPr>
          <w:rFonts w:eastAsia="方正黑体_GBK"/>
          <w:color w:val="000000"/>
          <w:sz w:val="32"/>
          <w:szCs w:val="22"/>
        </w:rPr>
      </w:pPr>
      <w:bookmarkStart w:id="33" w:name="_Toc2157"/>
      <w:r>
        <w:rPr>
          <w:rFonts w:eastAsia="方正黑体_GBK"/>
          <w:color w:val="000000"/>
          <w:sz w:val="32"/>
          <w:szCs w:val="22"/>
        </w:rPr>
        <w:t>三、总体思路</w:t>
      </w:r>
      <w:bookmarkEnd w:id="29"/>
      <w:bookmarkEnd w:id="30"/>
      <w:bookmarkEnd w:id="31"/>
      <w:bookmarkEnd w:id="32"/>
      <w:bookmarkEnd w:id="33"/>
    </w:p>
    <w:p>
      <w:pPr>
        <w:spacing w:line="580" w:lineRule="exact"/>
        <w:ind w:firstLine="640" w:firstLineChars="200"/>
        <w:outlineLvl w:val="1"/>
        <w:rPr>
          <w:rFonts w:eastAsia="方正楷体_GBK"/>
          <w:color w:val="000000"/>
          <w:sz w:val="32"/>
          <w:szCs w:val="22"/>
        </w:rPr>
      </w:pPr>
      <w:bookmarkStart w:id="34" w:name="_Toc27939"/>
      <w:bookmarkStart w:id="35" w:name="_Toc20024"/>
      <w:bookmarkStart w:id="36" w:name="_Toc16338"/>
      <w:bookmarkStart w:id="37" w:name="_Toc20157"/>
      <w:bookmarkStart w:id="38" w:name="_Toc10804"/>
      <w:bookmarkStart w:id="39" w:name="_Toc19587"/>
      <w:r>
        <w:rPr>
          <w:rFonts w:eastAsia="方正楷体_GBK"/>
          <w:color w:val="000000"/>
          <w:sz w:val="32"/>
          <w:szCs w:val="22"/>
        </w:rPr>
        <w:t>（一）指导思想</w:t>
      </w:r>
      <w:bookmarkEnd w:id="34"/>
      <w:bookmarkEnd w:id="35"/>
      <w:bookmarkEnd w:id="36"/>
      <w:bookmarkEnd w:id="37"/>
      <w:bookmarkEnd w:id="38"/>
      <w:bookmarkEnd w:id="39"/>
    </w:p>
    <w:p>
      <w:pPr>
        <w:pStyle w:val="148"/>
        <w:adjustRightInd/>
        <w:spacing w:line="580" w:lineRule="exact"/>
        <w:ind w:firstLine="640" w:firstLineChars="200"/>
        <w:jc w:val="both"/>
        <w:rPr>
          <w:rFonts w:ascii="Times New Roman" w:eastAsia="方正仿宋_GBK" w:cs="Times New Roman"/>
          <w:sz w:val="32"/>
          <w:szCs w:val="32"/>
        </w:rPr>
      </w:pPr>
      <w:r>
        <w:rPr>
          <w:rFonts w:ascii="Times New Roman" w:eastAsia="方正仿宋_GBK" w:cs="Times New Roman"/>
          <w:sz w:val="32"/>
          <w:szCs w:val="32"/>
        </w:rPr>
        <w:t>高举中国特色社会主义伟大旗帜，深入贯彻党的十九大和十九届二中、三中、四中、五中全会精神，深入贯彻落实习近平总书记对重庆提出的“两点”定位、“两地”“两高”目标、发挥“三个作用”和营造良好政治生态的重要指示要求，准确把握新发展特征，深入践行新发展理念，积极融入新发展格局，充分利用处于西部陆海新通道重要节点的区位条件和良好的商贸物流基础，紧紧抓住新时代西部大开发、成渝地区双城经济圈建设、</w:t>
      </w:r>
      <w:r>
        <w:rPr>
          <w:rFonts w:hint="eastAsia" w:ascii="Times New Roman" w:eastAsia="方正仿宋_GBK" w:cs="Times New Roman"/>
          <w:sz w:val="32"/>
          <w:szCs w:val="32"/>
        </w:rPr>
        <w:t>全市</w:t>
      </w:r>
      <w:r>
        <w:rPr>
          <w:rFonts w:ascii="Times New Roman" w:eastAsia="方正仿宋_GBK" w:cs="Times New Roman"/>
          <w:sz w:val="32"/>
          <w:szCs w:val="32"/>
        </w:rPr>
        <w:t>“一区两群”协调发展等重大机遇，以满足人民群众日益增长的美好生活需要为根本目标，以深化供给侧结构性改革为主线，以进一步扩大开放和促进消费转型升级为重点，激发消费潜力和活力，扩大对外开放格局，健全现代物流体系，加快形成以国内大循环为主体、国内国际双循环相互促进的新发展格局，加快推进区域消费中心建设，打造武陵山区对外开放高地，全力推进区域物流集散中心建设，努力推动黔江区商贸物流业迈上新台阶，积极发挥对全区经济发展的带动作用，推动“渝东南区域中心城市”建设，在新时代西部大开发形成新格局中展现新作为、实现新突破。</w:t>
      </w:r>
    </w:p>
    <w:p>
      <w:pPr>
        <w:spacing w:line="580" w:lineRule="exact"/>
        <w:ind w:firstLine="640" w:firstLineChars="200"/>
        <w:outlineLvl w:val="1"/>
        <w:rPr>
          <w:rFonts w:eastAsia="方正楷体_GBK"/>
          <w:color w:val="000000"/>
          <w:sz w:val="32"/>
          <w:szCs w:val="22"/>
        </w:rPr>
      </w:pPr>
      <w:bookmarkStart w:id="40" w:name="_Toc10415"/>
      <w:bookmarkStart w:id="41" w:name="_Toc15424"/>
      <w:bookmarkStart w:id="42" w:name="_Toc13823"/>
      <w:bookmarkStart w:id="43" w:name="_Toc5366"/>
      <w:bookmarkStart w:id="44" w:name="_Toc4255"/>
      <w:bookmarkStart w:id="45" w:name="_Toc14975"/>
      <w:r>
        <w:rPr>
          <w:rFonts w:eastAsia="方正楷体_GBK"/>
          <w:color w:val="000000"/>
          <w:sz w:val="32"/>
          <w:szCs w:val="22"/>
        </w:rPr>
        <w:t>（二）基本原则</w:t>
      </w:r>
      <w:bookmarkEnd w:id="40"/>
      <w:bookmarkEnd w:id="41"/>
      <w:bookmarkEnd w:id="42"/>
      <w:bookmarkEnd w:id="43"/>
      <w:bookmarkEnd w:id="44"/>
      <w:bookmarkEnd w:id="45"/>
    </w:p>
    <w:p>
      <w:pPr>
        <w:spacing w:line="580" w:lineRule="exact"/>
        <w:ind w:firstLine="642" w:firstLineChars="200"/>
        <w:rPr>
          <w:rFonts w:eastAsia="方正仿宋_GBK"/>
          <w:color w:val="000000"/>
          <w:sz w:val="32"/>
          <w:szCs w:val="32"/>
        </w:rPr>
      </w:pPr>
      <w:r>
        <w:rPr>
          <w:rFonts w:eastAsia="方正仿宋_GBK"/>
          <w:b/>
          <w:color w:val="000000"/>
          <w:sz w:val="32"/>
          <w:szCs w:val="21"/>
        </w:rPr>
        <w:t>坚持改革创新驱动</w:t>
      </w:r>
      <w:r>
        <w:rPr>
          <w:rFonts w:eastAsia="方正仿宋_GBK"/>
          <w:color w:val="000000"/>
          <w:sz w:val="32"/>
          <w:szCs w:val="21"/>
        </w:rPr>
        <w:t>。</w:t>
      </w:r>
      <w:r>
        <w:rPr>
          <w:rFonts w:eastAsia="方正仿宋_GBK"/>
          <w:color w:val="000000"/>
          <w:sz w:val="32"/>
          <w:szCs w:val="32"/>
        </w:rPr>
        <w:t>充分发挥市场在资源配置中的决定性作用，更好发挥政府作用，大力推进供给侧结构性改革，推动流通体制、政策、技术、组织方式、经营模式的改革创新，突破流通领域的关键环节和薄弱短板，强化新技术、新业态、新模式在商贸物流领域的运用，建立公开透明的市场规则，形成有利于激发市场活力的新机制。</w:t>
      </w:r>
    </w:p>
    <w:p>
      <w:pPr>
        <w:spacing w:line="580" w:lineRule="exact"/>
        <w:ind w:firstLine="642" w:firstLineChars="200"/>
        <w:rPr>
          <w:rFonts w:eastAsia="方正仿宋_GBK"/>
          <w:color w:val="000000"/>
          <w:sz w:val="32"/>
          <w:szCs w:val="32"/>
        </w:rPr>
      </w:pPr>
      <w:r>
        <w:rPr>
          <w:rFonts w:eastAsia="方正仿宋_GBK"/>
          <w:b/>
          <w:color w:val="000000"/>
          <w:sz w:val="32"/>
          <w:szCs w:val="21"/>
        </w:rPr>
        <w:t>坚持产业融合发展</w:t>
      </w:r>
      <w:r>
        <w:rPr>
          <w:rFonts w:eastAsia="方正仿宋_GBK"/>
          <w:color w:val="000000"/>
          <w:sz w:val="32"/>
          <w:szCs w:val="21"/>
        </w:rPr>
        <w:t>。</w:t>
      </w:r>
      <w:r>
        <w:rPr>
          <w:rFonts w:eastAsia="方正仿宋_GBK"/>
          <w:color w:val="000000"/>
          <w:sz w:val="32"/>
          <w:szCs w:val="32"/>
        </w:rPr>
        <w:t>推动“商业+”“物流+”“互联网+”融合发展，应用互联网、大数据、人工智能等最新科技成果，推进传统商贸与信息化的深度融合，大力推进智慧商贸、智慧物流发展，强化商贸物流与其他产业的跨界融合，推动商旅文体等产业融合发展，促进商贸服务业态和模式创新。</w:t>
      </w:r>
    </w:p>
    <w:p>
      <w:pPr>
        <w:spacing w:line="580" w:lineRule="exact"/>
        <w:ind w:firstLine="642" w:firstLineChars="200"/>
        <w:rPr>
          <w:rFonts w:eastAsia="方正仿宋_GBK"/>
          <w:color w:val="000000"/>
          <w:sz w:val="32"/>
          <w:szCs w:val="21"/>
        </w:rPr>
      </w:pPr>
      <w:r>
        <w:rPr>
          <w:rFonts w:eastAsia="方正仿宋_GBK"/>
          <w:b/>
          <w:color w:val="000000"/>
          <w:sz w:val="32"/>
          <w:szCs w:val="21"/>
        </w:rPr>
        <w:t>坚持绿色高效发展</w:t>
      </w:r>
      <w:r>
        <w:rPr>
          <w:rFonts w:eastAsia="方正仿宋_GBK"/>
          <w:color w:val="000000"/>
          <w:sz w:val="32"/>
          <w:szCs w:val="21"/>
        </w:rPr>
        <w:t>。加快推动生态产业化和产业生态化发展，按照“绿色+”发展思路，在商业设施和物流园区建设、物流运输、生活消费等多种渠道倡导绿色发展方式，构建绿色基础设施，倡导绿色消费方式，提升绿色发展水平。</w:t>
      </w:r>
    </w:p>
    <w:p>
      <w:pPr>
        <w:spacing w:line="580" w:lineRule="exact"/>
        <w:ind w:firstLine="642" w:firstLineChars="200"/>
        <w:rPr>
          <w:rFonts w:eastAsia="方正仿宋_GBK"/>
          <w:color w:val="000000"/>
          <w:sz w:val="32"/>
          <w:szCs w:val="21"/>
        </w:rPr>
      </w:pPr>
      <w:r>
        <w:rPr>
          <w:rFonts w:eastAsia="方正仿宋_GBK"/>
          <w:b/>
          <w:color w:val="000000"/>
          <w:sz w:val="32"/>
          <w:szCs w:val="21"/>
        </w:rPr>
        <w:t>坚持突破问题短板</w:t>
      </w:r>
      <w:r>
        <w:rPr>
          <w:rFonts w:eastAsia="方正仿宋_GBK"/>
          <w:color w:val="000000"/>
          <w:sz w:val="32"/>
          <w:szCs w:val="21"/>
        </w:rPr>
        <w:t>。聚焦商贸服务产业规模下降、商务服务业态单一、物流园区平台建设滞后、专业市场布局不合理、开放平台欠缺等短板问题，坚持问题导向，在商贸物流发展环境、商务服务业态培育、物流园区和专业市场建设、开放平台打造等方面精准发力，提升商贸物流竞争力。</w:t>
      </w:r>
    </w:p>
    <w:p>
      <w:pPr>
        <w:spacing w:line="580" w:lineRule="exact"/>
        <w:ind w:firstLine="642" w:firstLineChars="200"/>
        <w:rPr>
          <w:rFonts w:eastAsia="方正仿宋_GBK"/>
          <w:color w:val="000000"/>
          <w:sz w:val="32"/>
          <w:szCs w:val="32"/>
        </w:rPr>
      </w:pPr>
      <w:r>
        <w:rPr>
          <w:rFonts w:eastAsia="方正仿宋_GBK"/>
          <w:b/>
          <w:color w:val="000000"/>
          <w:sz w:val="32"/>
          <w:szCs w:val="21"/>
        </w:rPr>
        <w:t>坚持开放合作发展</w:t>
      </w:r>
      <w:r>
        <w:rPr>
          <w:rFonts w:eastAsia="方正仿宋_GBK"/>
          <w:color w:val="000000"/>
          <w:sz w:val="32"/>
          <w:szCs w:val="21"/>
        </w:rPr>
        <w:t>。</w:t>
      </w:r>
      <w:r>
        <w:rPr>
          <w:rFonts w:eastAsia="方正仿宋_GBK"/>
          <w:bCs/>
          <w:color w:val="000000"/>
          <w:sz w:val="32"/>
          <w:szCs w:val="22"/>
        </w:rPr>
        <w:t>加快开放平台打造，提升开放平台能级，</w:t>
      </w:r>
      <w:r>
        <w:rPr>
          <w:rFonts w:eastAsia="方正仿宋_GBK"/>
          <w:color w:val="000000"/>
          <w:sz w:val="32"/>
          <w:szCs w:val="32"/>
        </w:rPr>
        <w:t>创新开放合作方式，大力推动外向型经济发展，提升对外开放水平。加强与周边区域商贸物流业合作，强化跨区域协调联动，推动优势互补、合作共赢。</w:t>
      </w:r>
    </w:p>
    <w:p>
      <w:pPr>
        <w:spacing w:line="580" w:lineRule="exact"/>
        <w:ind w:firstLine="640" w:firstLineChars="200"/>
        <w:outlineLvl w:val="1"/>
        <w:rPr>
          <w:rFonts w:eastAsia="方正楷体_GBK"/>
          <w:color w:val="000000"/>
          <w:sz w:val="32"/>
          <w:szCs w:val="22"/>
        </w:rPr>
      </w:pPr>
      <w:bookmarkStart w:id="46" w:name="_Toc20836"/>
      <w:bookmarkStart w:id="47" w:name="_Toc13433"/>
      <w:bookmarkStart w:id="48" w:name="_Toc24889"/>
      <w:bookmarkStart w:id="49" w:name="_Toc19936"/>
      <w:bookmarkStart w:id="50" w:name="_Toc30072"/>
      <w:bookmarkStart w:id="51" w:name="_Toc12161"/>
      <w:r>
        <w:rPr>
          <w:rFonts w:eastAsia="方正楷体_GBK"/>
          <w:color w:val="000000"/>
          <w:sz w:val="32"/>
          <w:szCs w:val="22"/>
        </w:rPr>
        <w:t>（三）战略定位</w:t>
      </w:r>
      <w:bookmarkEnd w:id="46"/>
      <w:bookmarkEnd w:id="47"/>
      <w:bookmarkEnd w:id="48"/>
      <w:bookmarkEnd w:id="49"/>
      <w:bookmarkEnd w:id="50"/>
      <w:bookmarkEnd w:id="51"/>
    </w:p>
    <w:p>
      <w:pPr>
        <w:widowControl/>
        <w:spacing w:line="580" w:lineRule="exact"/>
        <w:ind w:firstLine="642" w:firstLineChars="200"/>
        <w:jc w:val="left"/>
        <w:rPr>
          <w:rFonts w:eastAsia="方正仿宋_GBK"/>
          <w:color w:val="000000"/>
          <w:sz w:val="32"/>
          <w:szCs w:val="32"/>
        </w:rPr>
      </w:pPr>
      <w:r>
        <w:rPr>
          <w:rFonts w:eastAsia="方正仿宋_GBK"/>
          <w:b/>
          <w:bCs/>
          <w:color w:val="000000"/>
          <w:sz w:val="32"/>
          <w:szCs w:val="32"/>
        </w:rPr>
        <w:t>武陵山商贸物流中心和对外开放高地</w:t>
      </w:r>
      <w:r>
        <w:rPr>
          <w:rFonts w:eastAsia="方正仿宋_GBK"/>
          <w:color w:val="000000"/>
          <w:sz w:val="32"/>
          <w:szCs w:val="32"/>
        </w:rPr>
        <w:t>。利用黔江处于西部陆海新通道重要节点的区位条件和良好商贸物流基础优势，主动服务和融入国家发展战略、全市发展大局，以</w:t>
      </w:r>
      <w:r>
        <w:rPr>
          <w:rFonts w:eastAsia="方正仿宋_GBK"/>
          <w:bCs/>
          <w:color w:val="000000"/>
          <w:kern w:val="0"/>
          <w:sz w:val="32"/>
          <w:szCs w:val="32"/>
        </w:rPr>
        <w:t>建设</w:t>
      </w:r>
      <w:r>
        <w:rPr>
          <w:rFonts w:eastAsia="方正仿宋_GBK"/>
          <w:color w:val="000000"/>
          <w:sz w:val="32"/>
          <w:szCs w:val="32"/>
        </w:rPr>
        <w:t>“</w:t>
      </w:r>
      <w:r>
        <w:rPr>
          <w:rFonts w:eastAsia="方正仿宋_GBK"/>
          <w:bCs/>
          <w:color w:val="000000"/>
          <w:kern w:val="0"/>
          <w:sz w:val="32"/>
          <w:szCs w:val="32"/>
        </w:rPr>
        <w:t>渝东南区域中心城市”为目标，把握全区打造“武陵山区综合交通枢纽”</w:t>
      </w:r>
      <w:r>
        <w:rPr>
          <w:rFonts w:eastAsia="方正仿宋_GBK"/>
          <w:color w:val="000000"/>
          <w:sz w:val="32"/>
          <w:szCs w:val="32"/>
        </w:rPr>
        <w:t>契机，</w:t>
      </w:r>
      <w:r>
        <w:rPr>
          <w:rFonts w:hint="eastAsia" w:eastAsia="方正仿宋_GBK"/>
          <w:color w:val="000000"/>
          <w:sz w:val="32"/>
          <w:szCs w:val="32"/>
        </w:rPr>
        <w:t>加快促进全面消费</w:t>
      </w:r>
      <w:r>
        <w:rPr>
          <w:rFonts w:eastAsia="方正仿宋_GBK"/>
          <w:color w:val="000000"/>
          <w:sz w:val="32"/>
          <w:szCs w:val="32"/>
        </w:rPr>
        <w:t>，建设区域消费中心</w:t>
      </w:r>
      <w:r>
        <w:rPr>
          <w:rFonts w:hint="eastAsia" w:eastAsia="方正仿宋_GBK"/>
          <w:color w:val="000000"/>
          <w:sz w:val="32"/>
          <w:szCs w:val="32"/>
        </w:rPr>
        <w:t>，</w:t>
      </w:r>
      <w:r>
        <w:rPr>
          <w:rFonts w:eastAsia="方正仿宋_GBK"/>
          <w:color w:val="000000"/>
          <w:sz w:val="32"/>
          <w:szCs w:val="32"/>
        </w:rPr>
        <w:t>积极拓展开放通道，</w:t>
      </w:r>
      <w:r>
        <w:rPr>
          <w:rFonts w:hint="eastAsia" w:eastAsia="方正仿宋_GBK"/>
          <w:color w:val="000000"/>
          <w:sz w:val="32"/>
          <w:szCs w:val="22"/>
        </w:rPr>
        <w:t>强化对外经贸和商贸物流区域合作，</w:t>
      </w:r>
      <w:r>
        <w:rPr>
          <w:rFonts w:eastAsia="方正仿宋_GBK"/>
          <w:color w:val="000000"/>
          <w:sz w:val="32"/>
          <w:szCs w:val="32"/>
        </w:rPr>
        <w:t>打造武陵山区对外开放高地</w:t>
      </w:r>
      <w:r>
        <w:rPr>
          <w:rFonts w:hint="eastAsia" w:eastAsia="方正仿宋_GBK"/>
          <w:color w:val="000000"/>
          <w:sz w:val="32"/>
          <w:szCs w:val="32"/>
        </w:rPr>
        <w:t>，</w:t>
      </w:r>
      <w:r>
        <w:rPr>
          <w:rFonts w:eastAsia="方正仿宋_GBK"/>
          <w:color w:val="000000"/>
          <w:sz w:val="32"/>
          <w:szCs w:val="22"/>
        </w:rPr>
        <w:t>推进渝东南空铁联运</w:t>
      </w:r>
      <w:r>
        <w:rPr>
          <w:rFonts w:hint="eastAsia" w:eastAsia="方正仿宋_GBK"/>
          <w:color w:val="000000"/>
          <w:sz w:val="32"/>
          <w:szCs w:val="22"/>
        </w:rPr>
        <w:t>示范区建设</w:t>
      </w:r>
      <w:r>
        <w:rPr>
          <w:rFonts w:eastAsia="方正仿宋_GBK"/>
          <w:color w:val="000000"/>
          <w:sz w:val="32"/>
          <w:szCs w:val="22"/>
        </w:rPr>
        <w:t>，</w:t>
      </w:r>
      <w:r>
        <w:rPr>
          <w:rFonts w:hint="eastAsia" w:eastAsia="方正仿宋_GBK"/>
          <w:color w:val="000000"/>
          <w:sz w:val="32"/>
          <w:szCs w:val="32"/>
        </w:rPr>
        <w:t>构建便捷高效“空铁公”多式联运体系，打造区域物流集散中心</w:t>
      </w:r>
      <w:r>
        <w:rPr>
          <w:rFonts w:hint="eastAsia" w:eastAsia="方正仿宋_GBK"/>
          <w:color w:val="000000"/>
          <w:sz w:val="32"/>
          <w:szCs w:val="22"/>
        </w:rPr>
        <w:t>，</w:t>
      </w:r>
      <w:r>
        <w:rPr>
          <w:rFonts w:hint="eastAsia" w:eastAsia="方正仿宋_GBK"/>
          <w:color w:val="000000"/>
          <w:sz w:val="32"/>
          <w:szCs w:val="32"/>
        </w:rPr>
        <w:t>强化电商服务体系建设，推动电子商务加快发展，加快应急保障体系建设，建设武陵山区应急保障基地，</w:t>
      </w:r>
      <w:r>
        <w:rPr>
          <w:rFonts w:eastAsia="方正仿宋_GBK"/>
          <w:color w:val="000000"/>
          <w:sz w:val="32"/>
          <w:szCs w:val="32"/>
        </w:rPr>
        <w:t>提升</w:t>
      </w:r>
      <w:r>
        <w:rPr>
          <w:rFonts w:hint="eastAsia" w:eastAsia="方正仿宋_GBK"/>
          <w:color w:val="000000"/>
          <w:sz w:val="32"/>
          <w:szCs w:val="32"/>
        </w:rPr>
        <w:t>商贸物流发展能级和</w:t>
      </w:r>
      <w:r>
        <w:rPr>
          <w:rFonts w:eastAsia="方正仿宋_GBK"/>
          <w:color w:val="000000"/>
          <w:sz w:val="32"/>
          <w:szCs w:val="32"/>
        </w:rPr>
        <w:t>对武陵山区的</w:t>
      </w:r>
      <w:r>
        <w:rPr>
          <w:rFonts w:hint="eastAsia" w:eastAsia="方正仿宋_GBK"/>
          <w:color w:val="000000"/>
          <w:sz w:val="32"/>
          <w:szCs w:val="32"/>
        </w:rPr>
        <w:t>影响力</w:t>
      </w:r>
      <w:r>
        <w:rPr>
          <w:rFonts w:eastAsia="方正仿宋_GBK"/>
          <w:color w:val="000000"/>
          <w:sz w:val="32"/>
          <w:szCs w:val="32"/>
        </w:rPr>
        <w:t>和辐射力</w:t>
      </w:r>
      <w:r>
        <w:rPr>
          <w:rFonts w:hint="eastAsia" w:eastAsia="方正仿宋_GBK"/>
          <w:color w:val="000000"/>
          <w:sz w:val="32"/>
          <w:szCs w:val="32"/>
        </w:rPr>
        <w:t>，</w:t>
      </w:r>
      <w:r>
        <w:rPr>
          <w:rFonts w:eastAsia="方正仿宋_GBK"/>
          <w:color w:val="000000"/>
          <w:sz w:val="32"/>
          <w:szCs w:val="32"/>
        </w:rPr>
        <w:t>加快建设武陵山商贸物流中心和对外开放高地</w:t>
      </w:r>
      <w:r>
        <w:rPr>
          <w:rFonts w:hint="eastAsia" w:eastAsia="方正仿宋_GBK"/>
          <w:color w:val="000000"/>
          <w:sz w:val="32"/>
          <w:szCs w:val="32"/>
        </w:rPr>
        <w:t>，</w:t>
      </w:r>
      <w:r>
        <w:rPr>
          <w:rFonts w:eastAsia="方正仿宋_GBK"/>
          <w:color w:val="000000"/>
          <w:sz w:val="32"/>
          <w:szCs w:val="32"/>
        </w:rPr>
        <w:t>为渝东南区域中心城市建设提供重要支撑。</w:t>
      </w:r>
    </w:p>
    <w:p>
      <w:pPr>
        <w:spacing w:line="580" w:lineRule="exact"/>
        <w:ind w:firstLine="640" w:firstLineChars="200"/>
        <w:outlineLvl w:val="1"/>
        <w:rPr>
          <w:rFonts w:eastAsia="方正楷体_GBK"/>
          <w:color w:val="000000"/>
          <w:sz w:val="32"/>
          <w:szCs w:val="22"/>
        </w:rPr>
      </w:pPr>
      <w:bookmarkStart w:id="52" w:name="_Toc15702"/>
      <w:bookmarkStart w:id="53" w:name="_Toc9711"/>
      <w:bookmarkStart w:id="54" w:name="_Toc8910"/>
      <w:bookmarkStart w:id="55" w:name="_Toc29378"/>
      <w:bookmarkStart w:id="56" w:name="_Toc2537"/>
      <w:bookmarkStart w:id="57" w:name="_Toc9424"/>
      <w:r>
        <w:rPr>
          <w:rFonts w:eastAsia="方正楷体_GBK"/>
          <w:color w:val="000000"/>
          <w:sz w:val="32"/>
          <w:szCs w:val="22"/>
        </w:rPr>
        <w:t>（四）发展目标</w:t>
      </w:r>
      <w:bookmarkEnd w:id="52"/>
      <w:bookmarkEnd w:id="53"/>
      <w:bookmarkEnd w:id="54"/>
      <w:bookmarkEnd w:id="55"/>
      <w:bookmarkEnd w:id="56"/>
      <w:bookmarkEnd w:id="57"/>
    </w:p>
    <w:p>
      <w:pPr>
        <w:spacing w:line="580" w:lineRule="exact"/>
        <w:ind w:firstLine="642" w:firstLineChars="200"/>
        <w:rPr>
          <w:rFonts w:eastAsia="方正仿宋_GBK"/>
          <w:color w:val="000000"/>
          <w:sz w:val="32"/>
          <w:szCs w:val="32"/>
        </w:rPr>
      </w:pPr>
      <w:r>
        <w:rPr>
          <w:rFonts w:eastAsia="方正仿宋_GBK"/>
          <w:b/>
          <w:bCs/>
          <w:color w:val="000000"/>
          <w:sz w:val="32"/>
          <w:szCs w:val="32"/>
        </w:rPr>
        <w:t>区域消费中心基本建成</w:t>
      </w:r>
      <w:r>
        <w:rPr>
          <w:rFonts w:eastAsia="方正仿宋_GBK"/>
          <w:color w:val="000000"/>
          <w:sz w:val="32"/>
          <w:szCs w:val="32"/>
        </w:rPr>
        <w:t>。消费环境更加优化、消费产品供给质量明显提升、消费新业态新模式日益丰富，新城正阳商圈成功打造成为城市CBD，商业街区、社区商业设施、专业市场、集镇商业网点布局更加合理，基本建成区域消费中心。到2025年，力争培育年销售额超10亿元的企业1家，超5亿元的企业5家，社会消费品零售总额突破183亿元。</w:t>
      </w:r>
    </w:p>
    <w:p>
      <w:pPr>
        <w:spacing w:line="580" w:lineRule="exact"/>
        <w:ind w:firstLine="642" w:firstLineChars="200"/>
        <w:rPr>
          <w:rFonts w:eastAsia="方正仿宋_GBK"/>
          <w:color w:val="000000"/>
          <w:sz w:val="32"/>
          <w:szCs w:val="32"/>
        </w:rPr>
      </w:pPr>
      <w:r>
        <w:rPr>
          <w:rFonts w:eastAsia="方正仿宋_GBK"/>
          <w:b/>
          <w:bCs/>
          <w:color w:val="000000"/>
          <w:sz w:val="32"/>
          <w:szCs w:val="32"/>
        </w:rPr>
        <w:t>武陵山区对外开放高地基本建成</w:t>
      </w:r>
      <w:r>
        <w:rPr>
          <w:rFonts w:eastAsia="方正仿宋_GBK"/>
          <w:color w:val="000000"/>
          <w:sz w:val="32"/>
          <w:szCs w:val="32"/>
        </w:rPr>
        <w:t>。黔江海关服务功能不断完善，口岸建设取得突破，航空物流、铁路集装箱甩挂业务有序发展，海关特殊监管区域获批设立，“海关+口岸+通道+监管场所”综合开放平台初步成型，开放型经济水平明显提升，全面开放新格局初具雏形。到2025年，进出口贸易总额达20亿元，实际利用外资显著提升。</w:t>
      </w:r>
    </w:p>
    <w:p>
      <w:pPr>
        <w:spacing w:line="580" w:lineRule="exact"/>
        <w:ind w:firstLine="642" w:firstLineChars="200"/>
        <w:rPr>
          <w:rFonts w:eastAsia="方正仿宋_GBK"/>
          <w:color w:val="000000"/>
        </w:rPr>
      </w:pPr>
      <w:r>
        <w:rPr>
          <w:rFonts w:eastAsia="方正仿宋_GBK"/>
          <w:b/>
          <w:bCs/>
          <w:color w:val="000000"/>
          <w:sz w:val="32"/>
          <w:szCs w:val="32"/>
        </w:rPr>
        <w:t>区域物流集散中心基本建成</w:t>
      </w:r>
      <w:r>
        <w:rPr>
          <w:rFonts w:eastAsia="方正仿宋_GBK"/>
          <w:color w:val="000000"/>
          <w:sz w:val="32"/>
          <w:szCs w:val="32"/>
        </w:rPr>
        <w:t>。“空铁公”多式联运体系更加健全，物流规模化、信息化、国际化、集约化水平明显提升，物流新业态、新模式不断涌现，区域物流集散中心基本建成</w:t>
      </w:r>
      <w:r>
        <w:rPr>
          <w:rFonts w:hint="eastAsia" w:eastAsia="方正仿宋_GBK"/>
          <w:color w:val="000000"/>
          <w:sz w:val="32"/>
          <w:szCs w:val="32"/>
        </w:rPr>
        <w:t>，</w:t>
      </w:r>
      <w:r>
        <w:rPr>
          <w:rFonts w:eastAsia="方正仿宋_GBK"/>
          <w:color w:val="000000"/>
          <w:sz w:val="32"/>
          <w:szCs w:val="32"/>
        </w:rPr>
        <w:t>渝东南空铁联运</w:t>
      </w:r>
      <w:r>
        <w:rPr>
          <w:rFonts w:hint="eastAsia" w:eastAsia="方正仿宋_GBK"/>
          <w:color w:val="000000"/>
          <w:sz w:val="32"/>
          <w:szCs w:val="32"/>
        </w:rPr>
        <w:t>示范区</w:t>
      </w:r>
      <w:r>
        <w:rPr>
          <w:rFonts w:eastAsia="方正仿宋_GBK"/>
          <w:color w:val="000000"/>
          <w:sz w:val="32"/>
          <w:szCs w:val="32"/>
        </w:rPr>
        <w:t>建设取得重大进展。到2025年，年营业收入超1亿元的物流企业5家，企业物流成本下降到15%以下。</w:t>
      </w:r>
    </w:p>
    <w:p>
      <w:pPr>
        <w:spacing w:line="580" w:lineRule="exact"/>
        <w:ind w:firstLine="642" w:firstLineChars="200"/>
        <w:rPr>
          <w:rFonts w:eastAsia="方正仿宋_GBK"/>
          <w:color w:val="000000"/>
          <w:sz w:val="32"/>
          <w:szCs w:val="32"/>
        </w:rPr>
      </w:pPr>
      <w:r>
        <w:rPr>
          <w:rFonts w:eastAsia="方正仿宋_GBK"/>
          <w:b/>
          <w:bCs/>
          <w:color w:val="000000"/>
          <w:sz w:val="32"/>
          <w:szCs w:val="32"/>
        </w:rPr>
        <w:t>电子商务发展水平显著提升</w:t>
      </w:r>
      <w:r>
        <w:rPr>
          <w:rFonts w:eastAsia="方正仿宋_GBK"/>
          <w:color w:val="000000"/>
          <w:sz w:val="32"/>
          <w:szCs w:val="32"/>
        </w:rPr>
        <w:t>。电子商务发展水平大幅提升，以供应链管理、品牌建设、线上线下一体发展等为特征的零售新模式新业态大量涌现，实物商品网上零售额占社会消费品零售总额比重显著提高。到2025年，全区电子商务交易额突破80亿元，网络零售额突破50亿元，培育跨境电商企业1-2家，跨境电子商务交易及结算实现3亿元。</w:t>
      </w:r>
    </w:p>
    <w:p>
      <w:pPr>
        <w:adjustRightInd w:val="0"/>
        <w:jc w:val="center"/>
        <w:rPr>
          <w:rFonts w:eastAsia="方正仿宋_GBK"/>
          <w:bCs/>
          <w:color w:val="000000"/>
          <w:sz w:val="24"/>
          <w:szCs w:val="22"/>
        </w:rPr>
      </w:pPr>
      <w:r>
        <w:rPr>
          <w:rFonts w:eastAsia="方正仿宋_GBK"/>
          <w:bCs/>
          <w:color w:val="000000"/>
          <w:sz w:val="24"/>
          <w:szCs w:val="22"/>
        </w:rPr>
        <w:t>表3-1 黔江区“十四五”商贸物流发展目标表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4090"/>
        <w:gridCol w:w="1460"/>
        <w:gridCol w:w="1538"/>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32" w:type="dxa"/>
            <w:noWrap w:val="0"/>
            <w:vAlign w:val="center"/>
          </w:tcPr>
          <w:p>
            <w:pPr>
              <w:adjustRightInd w:val="0"/>
              <w:jc w:val="center"/>
              <w:rPr>
                <w:rFonts w:eastAsia="方正仿宋_GBK"/>
                <w:b/>
                <w:color w:val="000000"/>
                <w:sz w:val="24"/>
              </w:rPr>
            </w:pPr>
            <w:r>
              <w:rPr>
                <w:rFonts w:eastAsia="方正仿宋_GBK"/>
                <w:b/>
                <w:color w:val="000000"/>
                <w:sz w:val="24"/>
              </w:rPr>
              <w:t>序号</w:t>
            </w:r>
          </w:p>
        </w:tc>
        <w:tc>
          <w:tcPr>
            <w:tcW w:w="4090" w:type="dxa"/>
            <w:noWrap w:val="0"/>
            <w:vAlign w:val="center"/>
          </w:tcPr>
          <w:p>
            <w:pPr>
              <w:adjustRightInd w:val="0"/>
              <w:jc w:val="center"/>
              <w:rPr>
                <w:rFonts w:eastAsia="方正仿宋_GBK"/>
                <w:b/>
                <w:color w:val="000000"/>
                <w:sz w:val="24"/>
              </w:rPr>
            </w:pPr>
            <w:r>
              <w:rPr>
                <w:rFonts w:eastAsia="方正仿宋_GBK"/>
                <w:b/>
                <w:color w:val="000000"/>
                <w:sz w:val="24"/>
              </w:rPr>
              <w:t>指标</w:t>
            </w:r>
          </w:p>
        </w:tc>
        <w:tc>
          <w:tcPr>
            <w:tcW w:w="1460" w:type="dxa"/>
            <w:noWrap w:val="0"/>
            <w:vAlign w:val="center"/>
          </w:tcPr>
          <w:p>
            <w:pPr>
              <w:adjustRightInd w:val="0"/>
              <w:jc w:val="center"/>
              <w:rPr>
                <w:rFonts w:eastAsia="方正仿宋_GBK"/>
                <w:b/>
                <w:color w:val="000000"/>
                <w:sz w:val="24"/>
              </w:rPr>
            </w:pPr>
            <w:r>
              <w:rPr>
                <w:rFonts w:eastAsia="方正仿宋_GBK"/>
                <w:b/>
                <w:color w:val="000000"/>
                <w:sz w:val="24"/>
              </w:rPr>
              <w:t>2020年</w:t>
            </w:r>
          </w:p>
        </w:tc>
        <w:tc>
          <w:tcPr>
            <w:tcW w:w="1538" w:type="dxa"/>
            <w:noWrap w:val="0"/>
            <w:vAlign w:val="center"/>
          </w:tcPr>
          <w:p>
            <w:pPr>
              <w:adjustRightInd w:val="0"/>
              <w:jc w:val="center"/>
              <w:rPr>
                <w:rFonts w:eastAsia="方正仿宋_GBK"/>
                <w:b/>
                <w:color w:val="000000"/>
                <w:sz w:val="24"/>
              </w:rPr>
            </w:pPr>
            <w:r>
              <w:rPr>
                <w:rFonts w:eastAsia="方正仿宋_GBK"/>
                <w:b/>
                <w:color w:val="000000"/>
                <w:sz w:val="24"/>
              </w:rPr>
              <w:t>2025年</w:t>
            </w:r>
          </w:p>
        </w:tc>
        <w:tc>
          <w:tcPr>
            <w:tcW w:w="1235" w:type="dxa"/>
            <w:noWrap w:val="0"/>
            <w:vAlign w:val="center"/>
          </w:tcPr>
          <w:p>
            <w:pPr>
              <w:adjustRightInd w:val="0"/>
              <w:jc w:val="center"/>
              <w:rPr>
                <w:rFonts w:eastAsia="方正仿宋_GBK"/>
                <w:b/>
                <w:color w:val="000000"/>
                <w:sz w:val="24"/>
              </w:rPr>
            </w:pPr>
            <w:r>
              <w:rPr>
                <w:rFonts w:eastAsia="方正仿宋_GBK"/>
                <w:b/>
                <w:color w:val="000000"/>
                <w:sz w:val="24"/>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1</w:t>
            </w:r>
          </w:p>
        </w:tc>
        <w:tc>
          <w:tcPr>
            <w:tcW w:w="4090" w:type="dxa"/>
            <w:noWrap w:val="0"/>
            <w:vAlign w:val="center"/>
          </w:tcPr>
          <w:p>
            <w:pPr>
              <w:adjustRightInd w:val="0"/>
              <w:jc w:val="center"/>
              <w:rPr>
                <w:rFonts w:eastAsia="方正仿宋_GBK"/>
                <w:color w:val="000000"/>
                <w:sz w:val="24"/>
              </w:rPr>
            </w:pPr>
            <w:r>
              <w:rPr>
                <w:rFonts w:eastAsia="方正仿宋_GBK"/>
                <w:color w:val="000000"/>
                <w:sz w:val="24"/>
              </w:rPr>
              <w:t>社会消费品零售总额（亿元）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131.1</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183</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2</w:t>
            </w:r>
          </w:p>
        </w:tc>
        <w:tc>
          <w:tcPr>
            <w:tcW w:w="4090" w:type="dxa"/>
            <w:noWrap w:val="0"/>
            <w:vAlign w:val="center"/>
          </w:tcPr>
          <w:p>
            <w:pPr>
              <w:adjustRightInd w:val="0"/>
              <w:jc w:val="center"/>
              <w:rPr>
                <w:rFonts w:eastAsia="方正仿宋_GBK"/>
                <w:color w:val="000000"/>
                <w:sz w:val="24"/>
              </w:rPr>
            </w:pPr>
            <w:r>
              <w:rPr>
                <w:rFonts w:eastAsia="方正仿宋_GBK"/>
                <w:color w:val="000000"/>
                <w:sz w:val="24"/>
              </w:rPr>
              <w:t>批发业销售额（亿元）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95.6</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135</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3</w:t>
            </w:r>
          </w:p>
        </w:tc>
        <w:tc>
          <w:tcPr>
            <w:tcW w:w="4090" w:type="dxa"/>
            <w:noWrap w:val="0"/>
            <w:vAlign w:val="center"/>
          </w:tcPr>
          <w:p>
            <w:pPr>
              <w:adjustRightInd w:val="0"/>
              <w:jc w:val="center"/>
              <w:rPr>
                <w:rFonts w:eastAsia="方正仿宋_GBK"/>
                <w:color w:val="000000"/>
                <w:sz w:val="24"/>
              </w:rPr>
            </w:pPr>
            <w:r>
              <w:rPr>
                <w:rFonts w:eastAsia="方正仿宋_GBK"/>
                <w:color w:val="000000"/>
                <w:sz w:val="24"/>
              </w:rPr>
              <w:t>零售业销售额（亿元）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44.8</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65</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4</w:t>
            </w:r>
          </w:p>
        </w:tc>
        <w:tc>
          <w:tcPr>
            <w:tcW w:w="4090" w:type="dxa"/>
            <w:noWrap w:val="0"/>
            <w:vAlign w:val="center"/>
          </w:tcPr>
          <w:p>
            <w:pPr>
              <w:adjustRightInd w:val="0"/>
              <w:jc w:val="center"/>
              <w:rPr>
                <w:rFonts w:eastAsia="方正仿宋_GBK"/>
                <w:color w:val="000000"/>
                <w:sz w:val="24"/>
              </w:rPr>
            </w:pPr>
            <w:r>
              <w:rPr>
                <w:rFonts w:eastAsia="方正仿宋_GBK"/>
                <w:color w:val="000000"/>
                <w:sz w:val="24"/>
              </w:rPr>
              <w:t>住宿营业额（亿元）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11</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15</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5</w:t>
            </w:r>
          </w:p>
        </w:tc>
        <w:tc>
          <w:tcPr>
            <w:tcW w:w="4090" w:type="dxa"/>
            <w:noWrap w:val="0"/>
            <w:vAlign w:val="center"/>
          </w:tcPr>
          <w:p>
            <w:pPr>
              <w:adjustRightInd w:val="0"/>
              <w:jc w:val="center"/>
              <w:rPr>
                <w:rFonts w:eastAsia="方正仿宋_GBK"/>
                <w:color w:val="000000"/>
                <w:sz w:val="24"/>
              </w:rPr>
            </w:pPr>
            <w:r>
              <w:rPr>
                <w:rFonts w:eastAsia="方正仿宋_GBK"/>
                <w:color w:val="000000"/>
                <w:sz w:val="24"/>
              </w:rPr>
              <w:t>餐饮营业额（亿元）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13.1</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18</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6</w:t>
            </w:r>
          </w:p>
        </w:tc>
        <w:tc>
          <w:tcPr>
            <w:tcW w:w="4090" w:type="dxa"/>
            <w:noWrap w:val="0"/>
            <w:vAlign w:val="center"/>
          </w:tcPr>
          <w:p>
            <w:pPr>
              <w:adjustRightInd w:val="0"/>
              <w:jc w:val="center"/>
              <w:rPr>
                <w:rFonts w:eastAsia="方正仿宋_GBK"/>
                <w:color w:val="000000"/>
                <w:sz w:val="24"/>
              </w:rPr>
            </w:pPr>
            <w:r>
              <w:rPr>
                <w:rFonts w:eastAsia="方正仿宋_GBK"/>
                <w:color w:val="000000"/>
                <w:kern w:val="0"/>
                <w:sz w:val="24"/>
              </w:rPr>
              <w:t>电子商务交易额（亿元）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51.3</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80</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7</w:t>
            </w:r>
          </w:p>
        </w:tc>
        <w:tc>
          <w:tcPr>
            <w:tcW w:w="4090" w:type="dxa"/>
            <w:noWrap w:val="0"/>
            <w:vAlign w:val="center"/>
          </w:tcPr>
          <w:p>
            <w:pPr>
              <w:adjustRightInd w:val="0"/>
              <w:jc w:val="center"/>
              <w:rPr>
                <w:rFonts w:eastAsia="方正仿宋_GBK"/>
                <w:color w:val="000000"/>
                <w:sz w:val="24"/>
              </w:rPr>
            </w:pPr>
            <w:r>
              <w:rPr>
                <w:rFonts w:eastAsia="方正仿宋_GBK"/>
                <w:color w:val="000000"/>
                <w:kern w:val="0"/>
                <w:sz w:val="24"/>
              </w:rPr>
              <w:t>网络零售额（亿元）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26.48</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50</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8</w:t>
            </w:r>
          </w:p>
        </w:tc>
        <w:tc>
          <w:tcPr>
            <w:tcW w:w="4090" w:type="dxa"/>
            <w:noWrap w:val="0"/>
            <w:vAlign w:val="center"/>
          </w:tcPr>
          <w:p>
            <w:pPr>
              <w:adjustRightInd w:val="0"/>
              <w:jc w:val="center"/>
              <w:rPr>
                <w:rFonts w:eastAsia="方正仿宋_GBK"/>
                <w:color w:val="000000"/>
                <w:kern w:val="0"/>
                <w:sz w:val="24"/>
              </w:rPr>
            </w:pPr>
            <w:r>
              <w:rPr>
                <w:rFonts w:eastAsia="方正仿宋_GBK"/>
                <w:color w:val="000000"/>
                <w:kern w:val="0"/>
                <w:sz w:val="24"/>
              </w:rPr>
              <w:t>跨境电子商务交易额（亿元）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3</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9</w:t>
            </w:r>
          </w:p>
        </w:tc>
        <w:tc>
          <w:tcPr>
            <w:tcW w:w="4090" w:type="dxa"/>
            <w:noWrap w:val="0"/>
            <w:vAlign w:val="center"/>
          </w:tcPr>
          <w:p>
            <w:pPr>
              <w:adjustRightInd w:val="0"/>
              <w:jc w:val="center"/>
              <w:rPr>
                <w:rFonts w:eastAsia="方正仿宋_GBK"/>
                <w:color w:val="000000"/>
                <w:kern w:val="0"/>
                <w:sz w:val="24"/>
              </w:rPr>
            </w:pPr>
            <w:r>
              <w:rPr>
                <w:rFonts w:eastAsia="方正仿宋_GBK"/>
                <w:color w:val="000000"/>
                <w:kern w:val="0"/>
                <w:sz w:val="24"/>
              </w:rPr>
              <w:t>进出口总额（亿元）</w:t>
            </w:r>
          </w:p>
        </w:tc>
        <w:tc>
          <w:tcPr>
            <w:tcW w:w="1460" w:type="dxa"/>
            <w:noWrap w:val="0"/>
            <w:vAlign w:val="center"/>
          </w:tcPr>
          <w:p>
            <w:pPr>
              <w:adjustRightInd w:val="0"/>
              <w:jc w:val="center"/>
              <w:rPr>
                <w:rFonts w:eastAsia="方正仿宋_GBK"/>
                <w:color w:val="000000"/>
                <w:sz w:val="24"/>
              </w:rPr>
            </w:pPr>
            <w:r>
              <w:rPr>
                <w:rFonts w:hint="eastAsia" w:eastAsia="方正仿宋_GBK"/>
                <w:color w:val="000000"/>
                <w:sz w:val="24"/>
              </w:rPr>
              <w:t>1.2</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20</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10</w:t>
            </w:r>
          </w:p>
        </w:tc>
        <w:tc>
          <w:tcPr>
            <w:tcW w:w="4090" w:type="dxa"/>
            <w:noWrap w:val="0"/>
            <w:vAlign w:val="center"/>
          </w:tcPr>
          <w:p>
            <w:pPr>
              <w:adjustRightInd w:val="0"/>
              <w:jc w:val="center"/>
              <w:rPr>
                <w:rFonts w:eastAsia="方正仿宋_GBK"/>
                <w:color w:val="000000"/>
                <w:kern w:val="0"/>
                <w:sz w:val="24"/>
              </w:rPr>
            </w:pPr>
            <w:r>
              <w:rPr>
                <w:rFonts w:eastAsia="方正仿宋_GBK"/>
                <w:color w:val="000000"/>
                <w:kern w:val="0"/>
                <w:sz w:val="24"/>
              </w:rPr>
              <w:t>实际利用外资（亿美元）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w:t>
            </w:r>
          </w:p>
        </w:tc>
        <w:tc>
          <w:tcPr>
            <w:tcW w:w="1538" w:type="dxa"/>
            <w:noWrap w:val="0"/>
            <w:vAlign w:val="center"/>
          </w:tcPr>
          <w:p>
            <w:pPr>
              <w:adjustRightInd w:val="0"/>
              <w:jc w:val="center"/>
              <w:rPr>
                <w:rFonts w:eastAsia="方正仿宋_GBK"/>
                <w:color w:val="000000"/>
                <w:sz w:val="24"/>
              </w:rPr>
            </w:pPr>
            <w:r>
              <w:rPr>
                <w:rFonts w:eastAsia="方正仿宋_GBK"/>
                <w:color w:val="000000"/>
                <w:kern w:val="0"/>
                <w:sz w:val="20"/>
                <w:szCs w:val="20"/>
              </w:rPr>
              <w:t>【2】</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11</w:t>
            </w:r>
          </w:p>
        </w:tc>
        <w:tc>
          <w:tcPr>
            <w:tcW w:w="4090" w:type="dxa"/>
            <w:noWrap w:val="0"/>
            <w:vAlign w:val="center"/>
          </w:tcPr>
          <w:p>
            <w:pPr>
              <w:adjustRightInd w:val="0"/>
              <w:jc w:val="center"/>
              <w:rPr>
                <w:rFonts w:eastAsia="方正仿宋_GBK"/>
                <w:color w:val="000000"/>
                <w:kern w:val="0"/>
                <w:sz w:val="24"/>
              </w:rPr>
            </w:pPr>
            <w:r>
              <w:rPr>
                <w:rFonts w:eastAsia="方正仿宋_GBK"/>
                <w:color w:val="000000"/>
                <w:kern w:val="0"/>
                <w:sz w:val="24"/>
              </w:rPr>
              <w:t>区域性会展品牌（个）</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5</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10</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12</w:t>
            </w:r>
          </w:p>
        </w:tc>
        <w:tc>
          <w:tcPr>
            <w:tcW w:w="4090" w:type="dxa"/>
            <w:noWrap w:val="0"/>
            <w:vAlign w:val="center"/>
          </w:tcPr>
          <w:p>
            <w:pPr>
              <w:adjustRightInd w:val="0"/>
              <w:jc w:val="center"/>
              <w:rPr>
                <w:rFonts w:eastAsia="方正仿宋_GBK"/>
                <w:color w:val="000000"/>
                <w:kern w:val="0"/>
                <w:sz w:val="24"/>
              </w:rPr>
            </w:pPr>
            <w:r>
              <w:rPr>
                <w:rFonts w:eastAsia="方正仿宋_GBK"/>
                <w:color w:val="000000"/>
                <w:kern w:val="0"/>
                <w:sz w:val="24"/>
              </w:rPr>
              <w:t>会展业直接收入（亿元）</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6.3</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15</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adjustRightInd w:val="0"/>
              <w:jc w:val="center"/>
              <w:rPr>
                <w:rFonts w:eastAsia="方正仿宋_GBK"/>
                <w:color w:val="000000"/>
                <w:sz w:val="24"/>
              </w:rPr>
            </w:pPr>
            <w:r>
              <w:rPr>
                <w:rFonts w:eastAsia="方正仿宋_GBK"/>
                <w:color w:val="000000"/>
                <w:sz w:val="24"/>
              </w:rPr>
              <w:t>13</w:t>
            </w:r>
          </w:p>
        </w:tc>
        <w:tc>
          <w:tcPr>
            <w:tcW w:w="4090" w:type="dxa"/>
            <w:noWrap w:val="0"/>
            <w:vAlign w:val="center"/>
          </w:tcPr>
          <w:p>
            <w:pPr>
              <w:adjustRightInd w:val="0"/>
              <w:jc w:val="center"/>
              <w:rPr>
                <w:rFonts w:eastAsia="方正仿宋_GBK"/>
                <w:color w:val="000000"/>
                <w:kern w:val="0"/>
                <w:sz w:val="24"/>
              </w:rPr>
            </w:pPr>
            <w:r>
              <w:rPr>
                <w:rFonts w:eastAsia="方正仿宋_GBK"/>
                <w:color w:val="000000"/>
                <w:sz w:val="24"/>
              </w:rPr>
              <w:t>限上商贸企业数量（家）</w:t>
            </w:r>
          </w:p>
        </w:tc>
        <w:tc>
          <w:tcPr>
            <w:tcW w:w="1460" w:type="dxa"/>
            <w:noWrap w:val="0"/>
            <w:vAlign w:val="center"/>
          </w:tcPr>
          <w:p>
            <w:pPr>
              <w:adjustRightInd w:val="0"/>
              <w:jc w:val="center"/>
              <w:rPr>
                <w:rFonts w:eastAsia="方正仿宋_GBK"/>
                <w:color w:val="000000"/>
                <w:sz w:val="24"/>
              </w:rPr>
            </w:pPr>
            <w:r>
              <w:rPr>
                <w:rFonts w:eastAsia="方正仿宋_GBK"/>
                <w:color w:val="000000"/>
                <w:sz w:val="24"/>
              </w:rPr>
              <w:t>88</w:t>
            </w:r>
          </w:p>
        </w:tc>
        <w:tc>
          <w:tcPr>
            <w:tcW w:w="1538" w:type="dxa"/>
            <w:noWrap w:val="0"/>
            <w:vAlign w:val="center"/>
          </w:tcPr>
          <w:p>
            <w:pPr>
              <w:adjustRightInd w:val="0"/>
              <w:jc w:val="center"/>
              <w:rPr>
                <w:rFonts w:eastAsia="方正仿宋_GBK"/>
                <w:color w:val="000000"/>
                <w:sz w:val="24"/>
              </w:rPr>
            </w:pPr>
            <w:r>
              <w:rPr>
                <w:rFonts w:eastAsia="方正仿宋_GBK"/>
                <w:color w:val="000000"/>
                <w:sz w:val="24"/>
              </w:rPr>
              <w:t>200</w:t>
            </w:r>
          </w:p>
        </w:tc>
        <w:tc>
          <w:tcPr>
            <w:tcW w:w="1235" w:type="dxa"/>
            <w:noWrap w:val="0"/>
            <w:vAlign w:val="center"/>
          </w:tcPr>
          <w:p>
            <w:pPr>
              <w:adjustRightInd w:val="0"/>
              <w:jc w:val="center"/>
              <w:rPr>
                <w:rFonts w:eastAsia="方正仿宋_GBK"/>
                <w:color w:val="000000"/>
                <w:sz w:val="24"/>
              </w:rPr>
            </w:pPr>
            <w:r>
              <w:rPr>
                <w:rFonts w:eastAsia="方正仿宋_GBK"/>
                <w:color w:val="000000"/>
                <w:sz w:val="24"/>
              </w:rPr>
              <w:t>预期性</w:t>
            </w:r>
          </w:p>
        </w:tc>
      </w:tr>
    </w:tbl>
    <w:p>
      <w:pPr>
        <w:ind w:firstLine="401" w:firstLineChars="200"/>
        <w:rPr>
          <w:rFonts w:hint="eastAsia" w:eastAsia="方正仿宋_GBK"/>
          <w:b/>
          <w:bCs/>
          <w:color w:val="000000"/>
          <w:sz w:val="32"/>
          <w:szCs w:val="32"/>
        </w:rPr>
      </w:pPr>
      <w:r>
        <w:rPr>
          <w:rFonts w:eastAsia="方正仿宋_GBK"/>
          <w:b/>
          <w:bCs/>
          <w:color w:val="000000"/>
          <w:sz w:val="20"/>
          <w:szCs w:val="20"/>
        </w:rPr>
        <w:t>备注：带【】为五年累计</w:t>
      </w:r>
      <w:r>
        <w:rPr>
          <w:rFonts w:hint="eastAsia" w:eastAsia="方正仿宋_GBK"/>
          <w:b/>
          <w:bCs/>
          <w:color w:val="000000"/>
          <w:sz w:val="20"/>
          <w:szCs w:val="20"/>
        </w:rPr>
        <w:t>数。</w:t>
      </w:r>
    </w:p>
    <w:p>
      <w:pPr>
        <w:spacing w:line="580" w:lineRule="exact"/>
        <w:ind w:firstLine="640" w:firstLineChars="200"/>
        <w:rPr>
          <w:rFonts w:eastAsia="方正仿宋_GBK"/>
          <w:color w:val="000000"/>
          <w:sz w:val="32"/>
          <w:szCs w:val="32"/>
        </w:rPr>
      </w:pPr>
      <w:r>
        <w:rPr>
          <w:rFonts w:eastAsia="方正仿宋_GBK"/>
          <w:color w:val="000000"/>
          <w:sz w:val="32"/>
          <w:szCs w:val="32"/>
        </w:rPr>
        <w:t>到2035年，武陵山商贸物流中心全面建成，商业消费层次和水平大幅提升，商业消费市场全面繁荣，“海关+口岸+通道+监管场所”综合开放平台全面建成，商贸物流区域合作更加紧密，利用外资规模持续壮大，开放型经济高质量发展，现代物流服务网络和冷链物流体系完善，全面辐射和带动武陵山区商贸物流业发展，对西部陆海新通道建设发挥重要支撑作用。</w:t>
      </w:r>
    </w:p>
    <w:p>
      <w:pPr>
        <w:pStyle w:val="148"/>
        <w:rPr>
          <w:rFonts w:ascii="Times New Roman" w:eastAsia="方正仿宋_GBK" w:cs="Times New Roman"/>
        </w:rPr>
        <w:sectPr>
          <w:pgSz w:w="11906" w:h="16838" w:orient="landscape"/>
          <w:pgMar w:top="2098" w:right="1531" w:bottom="1985" w:left="1531" w:header="851" w:footer="1304" w:gutter="0"/>
          <w:cols w:space="720" w:num="1"/>
          <w:docGrid w:type="lines" w:linePitch="312" w:charSpace="0"/>
        </w:sectPr>
      </w:pPr>
    </w:p>
    <w:p>
      <w:pPr>
        <w:spacing w:line="580" w:lineRule="exact"/>
        <w:outlineLvl w:val="0"/>
        <w:rPr>
          <w:rFonts w:eastAsia="方正黑体_GBK"/>
          <w:color w:val="000000"/>
          <w:sz w:val="32"/>
          <w:szCs w:val="22"/>
        </w:rPr>
      </w:pPr>
      <w:bookmarkStart w:id="58" w:name="_Toc1457"/>
      <w:bookmarkStart w:id="59" w:name="_Toc9319"/>
      <w:bookmarkStart w:id="60" w:name="_Toc6527"/>
      <w:bookmarkStart w:id="61" w:name="_Toc9403"/>
      <w:bookmarkStart w:id="62" w:name="_Toc32162"/>
      <w:bookmarkStart w:id="63" w:name="_Toc14576"/>
      <w:r>
        <w:rPr>
          <w:rFonts w:eastAsia="方正黑体_GBK"/>
          <w:color w:val="000000"/>
          <w:sz w:val="32"/>
          <w:szCs w:val="22"/>
        </w:rPr>
        <w:t>四、发展布局</w:t>
      </w:r>
      <w:bookmarkEnd w:id="58"/>
      <w:bookmarkEnd w:id="59"/>
    </w:p>
    <w:p>
      <w:pPr>
        <w:spacing w:line="580" w:lineRule="exact"/>
        <w:ind w:firstLine="640" w:firstLineChars="200"/>
        <w:rPr>
          <w:rFonts w:eastAsia="方正仿宋_GBK"/>
          <w:color w:val="000000"/>
          <w:sz w:val="32"/>
          <w:szCs w:val="32"/>
        </w:rPr>
      </w:pPr>
      <w:r>
        <w:rPr>
          <w:rFonts w:eastAsia="方正仿宋_GBK"/>
          <w:color w:val="000000"/>
          <w:sz w:val="32"/>
          <w:szCs w:val="32"/>
        </w:rPr>
        <w:t>围绕“建设武陵山商贸物流中心</w:t>
      </w:r>
      <w:r>
        <w:rPr>
          <w:rFonts w:hint="eastAsia" w:eastAsia="方正仿宋_GBK"/>
          <w:color w:val="000000"/>
          <w:sz w:val="32"/>
          <w:szCs w:val="32"/>
        </w:rPr>
        <w:t>和对外开放高地</w:t>
      </w:r>
      <w:r>
        <w:rPr>
          <w:rFonts w:eastAsia="方正仿宋_GBK"/>
          <w:color w:val="000000"/>
          <w:sz w:val="32"/>
          <w:szCs w:val="32"/>
        </w:rPr>
        <w:t>”总体发展定位，优化商贸物流空间布局和功能定位，构建网络健全、高效顺畅、方式多样、主体多元、安全有序的现代商贸流通体系，形成以</w:t>
      </w:r>
      <w:r>
        <w:rPr>
          <w:rFonts w:hint="eastAsia" w:eastAsia="方正仿宋_GBK"/>
          <w:color w:val="000000"/>
          <w:sz w:val="32"/>
          <w:szCs w:val="32"/>
        </w:rPr>
        <w:t>“</w:t>
      </w:r>
      <w:r>
        <w:rPr>
          <w:rFonts w:eastAsia="方正仿宋_GBK"/>
          <w:color w:val="000000"/>
          <w:sz w:val="32"/>
          <w:szCs w:val="32"/>
        </w:rPr>
        <w:t>城市商圈、对外开放平台、物流基地、专业市场和特色</w:t>
      </w:r>
      <w:r>
        <w:rPr>
          <w:rFonts w:hint="eastAsia" w:eastAsia="方正仿宋_GBK"/>
          <w:color w:val="000000"/>
          <w:sz w:val="32"/>
          <w:szCs w:val="32"/>
        </w:rPr>
        <w:t>商业</w:t>
      </w:r>
      <w:r>
        <w:rPr>
          <w:rFonts w:eastAsia="方正仿宋_GBK"/>
          <w:color w:val="000000"/>
          <w:sz w:val="32"/>
          <w:szCs w:val="32"/>
        </w:rPr>
        <w:t>街区</w:t>
      </w:r>
      <w:r>
        <w:rPr>
          <w:rFonts w:hint="eastAsia" w:eastAsia="方正仿宋_GBK"/>
          <w:color w:val="000000"/>
          <w:sz w:val="32"/>
          <w:szCs w:val="32"/>
        </w:rPr>
        <w:t>”</w:t>
      </w:r>
      <w:r>
        <w:rPr>
          <w:rFonts w:eastAsia="方正仿宋_GBK"/>
          <w:color w:val="000000"/>
          <w:sz w:val="32"/>
          <w:szCs w:val="32"/>
        </w:rPr>
        <w:t>为引领商贸物流发展格局。</w:t>
      </w:r>
    </w:p>
    <w:p>
      <w:pPr>
        <w:spacing w:line="580" w:lineRule="exact"/>
        <w:ind w:firstLine="640" w:firstLineChars="200"/>
        <w:outlineLvl w:val="1"/>
        <w:rPr>
          <w:rFonts w:eastAsia="方正楷体_GBK"/>
          <w:color w:val="000000"/>
          <w:sz w:val="32"/>
          <w:szCs w:val="22"/>
        </w:rPr>
      </w:pPr>
      <w:bookmarkStart w:id="64" w:name="_Toc4608"/>
      <w:bookmarkStart w:id="65" w:name="_Toc19499"/>
      <w:r>
        <w:rPr>
          <w:rFonts w:eastAsia="方正楷体_GBK"/>
          <w:color w:val="000000"/>
          <w:sz w:val="32"/>
          <w:szCs w:val="22"/>
        </w:rPr>
        <w:t>（一）现代城市商圈布局</w:t>
      </w:r>
      <w:bookmarkEnd w:id="64"/>
      <w:bookmarkEnd w:id="65"/>
    </w:p>
    <w:p>
      <w:pPr>
        <w:spacing w:line="580" w:lineRule="exact"/>
        <w:ind w:firstLine="640" w:firstLineChars="200"/>
        <w:rPr>
          <w:rFonts w:eastAsia="方正仿宋_GBK"/>
          <w:strike/>
          <w:color w:val="000000"/>
          <w:sz w:val="32"/>
          <w:szCs w:val="32"/>
        </w:rPr>
      </w:pPr>
      <w:r>
        <w:rPr>
          <w:rFonts w:eastAsia="方正仿宋_GBK"/>
          <w:color w:val="000000"/>
          <w:sz w:val="32"/>
          <w:szCs w:val="32"/>
        </w:rPr>
        <w:t>优化中心城区商圈布局和功能定位，全力推进新城正阳商圈建设，推动大十字商圈扩容升级，拓展商圈高端商业业态和商务服务功能，形成新城和老城现代城市商圈</w:t>
      </w:r>
      <w:r>
        <w:rPr>
          <w:rFonts w:hint="eastAsia" w:eastAsia="方正仿宋_GBK"/>
          <w:color w:val="000000"/>
          <w:sz w:val="32"/>
          <w:szCs w:val="32"/>
        </w:rPr>
        <w:t>，着力打造区域消费中心</w:t>
      </w:r>
      <w:r>
        <w:rPr>
          <w:rFonts w:eastAsia="方正仿宋_GBK"/>
          <w:color w:val="000000"/>
          <w:sz w:val="32"/>
          <w:szCs w:val="32"/>
        </w:rPr>
        <w:t>。</w:t>
      </w:r>
    </w:p>
    <w:p>
      <w:pPr>
        <w:spacing w:line="580" w:lineRule="exact"/>
        <w:ind w:firstLine="640" w:firstLineChars="200"/>
        <w:outlineLvl w:val="1"/>
        <w:rPr>
          <w:rFonts w:eastAsia="方正楷体_GBK"/>
          <w:color w:val="000000"/>
          <w:sz w:val="32"/>
          <w:szCs w:val="22"/>
        </w:rPr>
      </w:pPr>
      <w:bookmarkStart w:id="66" w:name="_Toc18296"/>
      <w:bookmarkStart w:id="67" w:name="_Toc3877"/>
      <w:r>
        <w:rPr>
          <w:rFonts w:eastAsia="方正楷体_GBK"/>
          <w:color w:val="000000"/>
          <w:sz w:val="32"/>
          <w:szCs w:val="22"/>
        </w:rPr>
        <w:t>（二）对外开放平台布局</w:t>
      </w:r>
      <w:bookmarkEnd w:id="66"/>
    </w:p>
    <w:p>
      <w:pPr>
        <w:spacing w:line="580" w:lineRule="exact"/>
        <w:ind w:firstLine="640" w:firstLineChars="200"/>
        <w:rPr>
          <w:rFonts w:eastAsia="方正仿宋_GBK"/>
          <w:color w:val="000000"/>
          <w:sz w:val="32"/>
          <w:szCs w:val="32"/>
        </w:rPr>
      </w:pPr>
      <w:bookmarkStart w:id="68" w:name="_Toc12679"/>
      <w:r>
        <w:rPr>
          <w:rFonts w:eastAsia="方正仿宋_GBK"/>
          <w:color w:val="000000"/>
          <w:sz w:val="32"/>
          <w:szCs w:val="32"/>
        </w:rPr>
        <w:t>抢抓国家区域协同发展战略机遇，积极融入新发展格局，推进航空口岸建设，谋划铁路运输海关特殊监管区、保税物流中心（B保）建设，</w:t>
      </w:r>
      <w:r>
        <w:rPr>
          <w:rFonts w:hint="eastAsia" w:eastAsia="方正仿宋_GBK"/>
          <w:color w:val="000000"/>
          <w:sz w:val="32"/>
          <w:szCs w:val="32"/>
        </w:rPr>
        <w:t>全力</w:t>
      </w:r>
      <w:r>
        <w:rPr>
          <w:rFonts w:eastAsia="方正仿宋_GBK"/>
          <w:color w:val="000000"/>
          <w:sz w:val="32"/>
          <w:szCs w:val="32"/>
        </w:rPr>
        <w:t>打造武陵山区对外开放平台。</w:t>
      </w:r>
      <w:bookmarkEnd w:id="68"/>
    </w:p>
    <w:p>
      <w:pPr>
        <w:spacing w:line="580" w:lineRule="exact"/>
        <w:ind w:firstLine="640" w:firstLineChars="200"/>
        <w:outlineLvl w:val="1"/>
        <w:rPr>
          <w:rFonts w:eastAsia="方正楷体_GBK"/>
          <w:color w:val="000000"/>
          <w:sz w:val="32"/>
          <w:szCs w:val="22"/>
        </w:rPr>
      </w:pPr>
      <w:bookmarkStart w:id="69" w:name="_Toc17335"/>
      <w:r>
        <w:rPr>
          <w:rFonts w:eastAsia="方正楷体_GBK"/>
          <w:color w:val="000000"/>
          <w:sz w:val="32"/>
          <w:szCs w:val="22"/>
        </w:rPr>
        <w:t>（三）物流园区空间布局</w:t>
      </w:r>
      <w:bookmarkEnd w:id="67"/>
      <w:bookmarkEnd w:id="69"/>
    </w:p>
    <w:p>
      <w:pPr>
        <w:spacing w:line="580" w:lineRule="exact"/>
        <w:ind w:firstLine="640" w:firstLineChars="200"/>
        <w:rPr>
          <w:rFonts w:eastAsia="方正仿宋_GBK"/>
          <w:bCs/>
          <w:color w:val="000000"/>
          <w:sz w:val="32"/>
          <w:szCs w:val="22"/>
        </w:rPr>
      </w:pPr>
      <w:r>
        <w:rPr>
          <w:rFonts w:hint="eastAsia" w:eastAsia="方正仿宋_GBK"/>
          <w:color w:val="000000"/>
          <w:sz w:val="32"/>
          <w:szCs w:val="32"/>
        </w:rPr>
        <w:t>加快推进</w:t>
      </w:r>
      <w:r>
        <w:rPr>
          <w:rFonts w:eastAsia="方正仿宋_GBK"/>
          <w:color w:val="000000"/>
          <w:sz w:val="32"/>
          <w:szCs w:val="32"/>
        </w:rPr>
        <w:t>正阳现代物流园区</w:t>
      </w:r>
      <w:r>
        <w:rPr>
          <w:rFonts w:hint="eastAsia" w:eastAsia="方正仿宋_GBK"/>
          <w:color w:val="000000"/>
          <w:sz w:val="32"/>
          <w:szCs w:val="32"/>
        </w:rPr>
        <w:t>、</w:t>
      </w:r>
      <w:r>
        <w:rPr>
          <w:rFonts w:eastAsia="方正仿宋_GBK"/>
          <w:bCs/>
          <w:color w:val="000000"/>
          <w:sz w:val="32"/>
          <w:szCs w:val="22"/>
        </w:rPr>
        <w:t>渝东南铁路物流中心、渝东南航空物流中心</w:t>
      </w:r>
      <w:r>
        <w:rPr>
          <w:rFonts w:hint="eastAsia" w:eastAsia="方正仿宋_GBK"/>
          <w:bCs/>
          <w:color w:val="000000"/>
          <w:sz w:val="32"/>
          <w:szCs w:val="22"/>
        </w:rPr>
        <w:t>、</w:t>
      </w:r>
      <w:r>
        <w:rPr>
          <w:rFonts w:eastAsia="方正仿宋_GBK"/>
          <w:bCs/>
          <w:color w:val="000000"/>
          <w:sz w:val="32"/>
          <w:szCs w:val="22"/>
        </w:rPr>
        <w:t>渝东南公路物流中心</w:t>
      </w:r>
      <w:r>
        <w:rPr>
          <w:rFonts w:hint="eastAsia" w:eastAsia="方正仿宋_GBK"/>
          <w:bCs/>
          <w:color w:val="000000"/>
          <w:sz w:val="32"/>
          <w:szCs w:val="22"/>
        </w:rPr>
        <w:t>建设，</w:t>
      </w:r>
      <w:r>
        <w:rPr>
          <w:rFonts w:eastAsia="方正仿宋_GBK"/>
          <w:color w:val="000000"/>
          <w:sz w:val="32"/>
          <w:szCs w:val="32"/>
        </w:rPr>
        <w:t>构建“一园区</w:t>
      </w:r>
      <w:r>
        <w:rPr>
          <w:rFonts w:hint="eastAsia" w:eastAsia="方正仿宋_GBK"/>
          <w:color w:val="000000"/>
          <w:sz w:val="32"/>
          <w:szCs w:val="32"/>
        </w:rPr>
        <w:t>三</w:t>
      </w:r>
      <w:r>
        <w:rPr>
          <w:rFonts w:eastAsia="方正仿宋_GBK"/>
          <w:color w:val="000000"/>
          <w:sz w:val="32"/>
          <w:szCs w:val="32"/>
        </w:rPr>
        <w:t>中心”</w:t>
      </w:r>
      <w:r>
        <w:rPr>
          <w:rFonts w:hint="eastAsia" w:eastAsia="方正仿宋_GBK"/>
          <w:color w:val="000000"/>
          <w:sz w:val="32"/>
          <w:szCs w:val="32"/>
        </w:rPr>
        <w:t>物流</w:t>
      </w:r>
      <w:r>
        <w:rPr>
          <w:rFonts w:eastAsia="方正仿宋_GBK"/>
          <w:color w:val="000000"/>
          <w:sz w:val="32"/>
          <w:szCs w:val="32"/>
        </w:rPr>
        <w:t>空间布局</w:t>
      </w:r>
      <w:r>
        <w:rPr>
          <w:rFonts w:hint="eastAsia" w:eastAsia="方正仿宋_GBK"/>
          <w:color w:val="000000"/>
          <w:sz w:val="32"/>
          <w:szCs w:val="32"/>
        </w:rPr>
        <w:t>，推进</w:t>
      </w:r>
      <w:r>
        <w:rPr>
          <w:rFonts w:eastAsia="方正仿宋_GBK"/>
          <w:color w:val="000000"/>
          <w:sz w:val="32"/>
          <w:szCs w:val="32"/>
        </w:rPr>
        <w:t>渝东南空铁联运</w:t>
      </w:r>
      <w:r>
        <w:rPr>
          <w:rFonts w:hint="eastAsia" w:eastAsia="方正仿宋_GBK"/>
          <w:color w:val="000000"/>
          <w:sz w:val="32"/>
          <w:szCs w:val="32"/>
        </w:rPr>
        <w:t>示范区建设，打造区域物流集散中心</w:t>
      </w:r>
      <w:r>
        <w:rPr>
          <w:rFonts w:eastAsia="方正仿宋_GBK"/>
          <w:color w:val="000000"/>
          <w:sz w:val="32"/>
          <w:szCs w:val="32"/>
        </w:rPr>
        <w:t>。</w:t>
      </w:r>
    </w:p>
    <w:p>
      <w:pPr>
        <w:spacing w:line="580" w:lineRule="exact"/>
        <w:ind w:firstLine="640" w:firstLineChars="200"/>
        <w:outlineLvl w:val="1"/>
        <w:rPr>
          <w:rFonts w:eastAsia="方正楷体_GBK"/>
          <w:color w:val="000000"/>
          <w:sz w:val="32"/>
          <w:szCs w:val="22"/>
        </w:rPr>
      </w:pPr>
      <w:bookmarkStart w:id="70" w:name="_Toc29368"/>
      <w:r>
        <w:rPr>
          <w:rFonts w:eastAsia="方正楷体_GBK"/>
          <w:color w:val="000000"/>
          <w:sz w:val="32"/>
          <w:szCs w:val="22"/>
        </w:rPr>
        <w:t>（四）专业交易市场布局</w:t>
      </w:r>
      <w:bookmarkEnd w:id="70"/>
    </w:p>
    <w:p>
      <w:pPr>
        <w:spacing w:line="580" w:lineRule="exact"/>
        <w:ind w:firstLine="640" w:firstLineChars="200"/>
        <w:rPr>
          <w:rFonts w:eastAsia="方正仿宋_GBK"/>
          <w:bCs/>
          <w:color w:val="000000"/>
          <w:sz w:val="32"/>
          <w:szCs w:val="22"/>
        </w:rPr>
      </w:pPr>
      <w:r>
        <w:rPr>
          <w:rFonts w:eastAsia="方正仿宋_GBK"/>
          <w:color w:val="000000"/>
          <w:sz w:val="32"/>
          <w:szCs w:val="32"/>
        </w:rPr>
        <w:t>优化全区专业市场布局，</w:t>
      </w:r>
      <w:r>
        <w:rPr>
          <w:rFonts w:hint="eastAsia" w:eastAsia="方正仿宋_GBK"/>
          <w:color w:val="000000"/>
          <w:sz w:val="32"/>
          <w:szCs w:val="32"/>
        </w:rPr>
        <w:t>加快精装智能家居系统市场培育，盘活现有家居市场资源，积极</w:t>
      </w:r>
      <w:r>
        <w:rPr>
          <w:rFonts w:eastAsia="方正仿宋_GBK"/>
          <w:bCs/>
          <w:color w:val="000000"/>
          <w:sz w:val="32"/>
          <w:szCs w:val="22"/>
        </w:rPr>
        <w:t>推动武陵山商贸批发城、吉之汇国际农贸物流城、渝东南汽车交易市场提档升级，</w:t>
      </w:r>
      <w:r>
        <w:rPr>
          <w:rFonts w:hint="eastAsia" w:eastAsia="方正仿宋_GBK"/>
          <w:bCs/>
          <w:color w:val="000000"/>
          <w:sz w:val="32"/>
          <w:szCs w:val="22"/>
        </w:rPr>
        <w:t>加快</w:t>
      </w:r>
      <w:r>
        <w:rPr>
          <w:rFonts w:eastAsia="方正仿宋_GBK"/>
          <w:bCs/>
          <w:color w:val="000000"/>
          <w:sz w:val="32"/>
          <w:szCs w:val="22"/>
        </w:rPr>
        <w:t>渝东南再生资源回收利用基地</w:t>
      </w:r>
      <w:r>
        <w:rPr>
          <w:rFonts w:hint="eastAsia" w:eastAsia="方正仿宋_GBK"/>
          <w:bCs/>
          <w:color w:val="000000"/>
          <w:sz w:val="32"/>
          <w:szCs w:val="22"/>
        </w:rPr>
        <w:t>建设</w:t>
      </w:r>
      <w:r>
        <w:rPr>
          <w:rFonts w:eastAsia="方正仿宋_GBK"/>
          <w:bCs/>
          <w:color w:val="000000"/>
          <w:sz w:val="32"/>
          <w:szCs w:val="22"/>
        </w:rPr>
        <w:t>，打造以绿色建材、进出口商品、农林产品、商用车、再生资源、电子商务为主的专业市场群。</w:t>
      </w:r>
    </w:p>
    <w:p>
      <w:pPr>
        <w:spacing w:line="580" w:lineRule="exact"/>
        <w:ind w:firstLine="640" w:firstLineChars="200"/>
        <w:outlineLvl w:val="1"/>
        <w:rPr>
          <w:rFonts w:eastAsia="方正楷体_GBK"/>
          <w:color w:val="000000"/>
          <w:sz w:val="32"/>
          <w:szCs w:val="22"/>
        </w:rPr>
      </w:pPr>
      <w:bookmarkStart w:id="71" w:name="_Toc28650"/>
      <w:bookmarkStart w:id="72" w:name="_Toc24334"/>
      <w:r>
        <w:rPr>
          <w:rFonts w:eastAsia="方正楷体_GBK"/>
          <w:color w:val="000000"/>
          <w:sz w:val="32"/>
          <w:szCs w:val="22"/>
        </w:rPr>
        <w:t>（五）特色商业街区布局</w:t>
      </w:r>
      <w:bookmarkEnd w:id="71"/>
      <w:bookmarkEnd w:id="72"/>
    </w:p>
    <w:p>
      <w:pPr>
        <w:spacing w:line="580" w:lineRule="exact"/>
        <w:ind w:firstLine="640" w:firstLineChars="200"/>
        <w:rPr>
          <w:rFonts w:eastAsia="方正仿宋_GBK"/>
          <w:bCs/>
          <w:color w:val="000000"/>
          <w:sz w:val="32"/>
          <w:szCs w:val="22"/>
        </w:rPr>
        <w:sectPr>
          <w:footerReference r:id="rId10" w:type="default"/>
          <w:pgSz w:w="11906" w:h="16838" w:orient="landscape"/>
          <w:pgMar w:top="2098" w:right="1531" w:bottom="1984" w:left="1531" w:header="1418" w:footer="1304" w:gutter="0"/>
          <w:cols w:space="720" w:num="1"/>
          <w:docGrid w:linePitch="312" w:charSpace="0"/>
        </w:sectPr>
      </w:pPr>
      <w:r>
        <w:rPr>
          <w:rFonts w:hint="eastAsia" w:eastAsia="方正仿宋_GBK"/>
          <w:bCs/>
          <w:color w:val="000000"/>
          <w:sz w:val="32"/>
          <w:szCs w:val="22"/>
        </w:rPr>
        <w:t>完善商业街区空间布局，培育一批集聚效应显著、文化底蕴深厚、基础设施完备、街区管理规范、拉动消费作用明显的特色商业街区：</w:t>
      </w:r>
      <w:r>
        <w:rPr>
          <w:rFonts w:eastAsia="方正仿宋_GBK"/>
          <w:bCs/>
          <w:color w:val="000000"/>
          <w:sz w:val="32"/>
          <w:szCs w:val="22"/>
        </w:rPr>
        <w:t>濯水非遗美食城、民族风情城美食街</w:t>
      </w:r>
      <w:r>
        <w:rPr>
          <w:rFonts w:hint="eastAsia" w:eastAsia="方正仿宋_GBK"/>
          <w:bCs/>
          <w:color w:val="000000"/>
          <w:sz w:val="32"/>
          <w:szCs w:val="22"/>
        </w:rPr>
        <w:t>、</w:t>
      </w:r>
      <w:r>
        <w:rPr>
          <w:rFonts w:eastAsia="方正仿宋_GBK"/>
          <w:bCs/>
          <w:color w:val="000000"/>
          <w:sz w:val="32"/>
          <w:szCs w:val="22"/>
        </w:rPr>
        <w:t>三岔河休闲美食长廊、解放路精品商业街</w:t>
      </w:r>
      <w:r>
        <w:rPr>
          <w:rFonts w:hint="eastAsia" w:eastAsia="方正仿宋_GBK"/>
          <w:bCs/>
          <w:color w:val="000000"/>
          <w:sz w:val="32"/>
          <w:szCs w:val="22"/>
        </w:rPr>
        <w:t>、</w:t>
      </w:r>
      <w:r>
        <w:rPr>
          <w:rFonts w:eastAsia="方正仿宋_GBK"/>
          <w:bCs/>
          <w:color w:val="000000"/>
          <w:sz w:val="32"/>
          <w:szCs w:val="22"/>
        </w:rPr>
        <w:t>黔江高铁商业街、中央公园十字金街</w:t>
      </w:r>
      <w:r>
        <w:rPr>
          <w:rFonts w:hint="eastAsia" w:eastAsia="方正仿宋_GBK"/>
          <w:bCs/>
          <w:color w:val="000000"/>
          <w:sz w:val="32"/>
          <w:szCs w:val="22"/>
        </w:rPr>
        <w:t>、</w:t>
      </w:r>
      <w:r>
        <w:rPr>
          <w:rFonts w:eastAsia="方正仿宋_GBK"/>
          <w:bCs/>
          <w:color w:val="000000"/>
          <w:sz w:val="32"/>
          <w:szCs w:val="22"/>
        </w:rPr>
        <w:t>碧桂园商业街</w:t>
      </w:r>
      <w:r>
        <w:rPr>
          <w:rFonts w:hint="eastAsia" w:eastAsia="方正仿宋_GBK"/>
          <w:bCs/>
          <w:color w:val="000000"/>
          <w:sz w:val="32"/>
          <w:szCs w:val="22"/>
        </w:rPr>
        <w:t>、</w:t>
      </w:r>
      <w:r>
        <w:rPr>
          <w:rFonts w:eastAsia="方正仿宋_GBK"/>
          <w:bCs/>
          <w:color w:val="000000"/>
          <w:sz w:val="32"/>
          <w:szCs w:val="22"/>
        </w:rPr>
        <w:t>伴山国际夜市、黔江玖街（山台山·新天地）</w:t>
      </w:r>
      <w:r>
        <w:rPr>
          <w:rFonts w:hint="eastAsia" w:eastAsia="方正仿宋_GBK"/>
          <w:bCs/>
          <w:color w:val="000000"/>
          <w:sz w:val="32"/>
          <w:szCs w:val="22"/>
        </w:rPr>
        <w:t>，推动</w:t>
      </w:r>
      <w:r>
        <w:rPr>
          <w:rFonts w:hint="eastAsia" w:eastAsia="方正仿宋_GBK"/>
          <w:color w:val="000000"/>
          <w:sz w:val="32"/>
          <w:szCs w:val="32"/>
        </w:rPr>
        <w:t>区域消费中心建设</w:t>
      </w:r>
      <w:r>
        <w:rPr>
          <w:rFonts w:eastAsia="方正仿宋_GBK"/>
          <w:bCs/>
          <w:color w:val="000000"/>
          <w:sz w:val="32"/>
          <w:szCs w:val="22"/>
        </w:rPr>
        <w:t>。</w:t>
      </w:r>
    </w:p>
    <w:p>
      <w:pPr>
        <w:spacing w:line="580" w:lineRule="exact"/>
        <w:outlineLvl w:val="0"/>
        <w:rPr>
          <w:rFonts w:eastAsia="方正黑体_GBK"/>
          <w:color w:val="000000"/>
          <w:sz w:val="32"/>
          <w:szCs w:val="22"/>
        </w:rPr>
      </w:pPr>
      <w:bookmarkStart w:id="73" w:name="_Toc14696"/>
      <w:r>
        <w:rPr>
          <w:rFonts w:eastAsia="方正黑体_GBK"/>
          <w:color w:val="000000"/>
          <w:sz w:val="32"/>
          <w:szCs w:val="22"/>
        </w:rPr>
        <w:t>五、加快商业集聚区建设，打造区域消费中心</w:t>
      </w:r>
      <w:bookmarkEnd w:id="60"/>
      <w:bookmarkEnd w:id="61"/>
      <w:bookmarkEnd w:id="62"/>
      <w:bookmarkEnd w:id="63"/>
      <w:bookmarkEnd w:id="73"/>
    </w:p>
    <w:p>
      <w:pPr>
        <w:spacing w:line="580" w:lineRule="exact"/>
        <w:ind w:firstLine="640" w:firstLineChars="200"/>
        <w:rPr>
          <w:rFonts w:eastAsia="方正仿宋_GBK"/>
          <w:color w:val="000000"/>
        </w:rPr>
      </w:pPr>
      <w:r>
        <w:rPr>
          <w:rFonts w:eastAsia="方正仿宋_GBK"/>
          <w:color w:val="000000"/>
          <w:sz w:val="32"/>
          <w:szCs w:val="22"/>
        </w:rPr>
        <w:t>优化全区商业设施布局，</w:t>
      </w:r>
      <w:r>
        <w:rPr>
          <w:rFonts w:eastAsia="方正仿宋_GBK"/>
          <w:color w:val="000000"/>
          <w:sz w:val="32"/>
          <w:szCs w:val="32"/>
        </w:rPr>
        <w:t>强化商业商务设施配套和业态引导，推动特色商业集聚区建设</w:t>
      </w:r>
      <w:r>
        <w:rPr>
          <w:rFonts w:eastAsia="方正仿宋_GBK"/>
          <w:color w:val="000000"/>
          <w:sz w:val="32"/>
          <w:szCs w:val="22"/>
        </w:rPr>
        <w:t>，加快培育商贸服务新业态新模式，营造良好消费环境，推动商务服务繁荣发展，打造区域消费中心。</w:t>
      </w:r>
    </w:p>
    <w:p>
      <w:pPr>
        <w:spacing w:line="580" w:lineRule="exact"/>
        <w:ind w:firstLine="640" w:firstLineChars="200"/>
        <w:outlineLvl w:val="1"/>
        <w:rPr>
          <w:rFonts w:eastAsia="方正楷体_GBK"/>
          <w:color w:val="000000"/>
          <w:sz w:val="32"/>
          <w:szCs w:val="22"/>
        </w:rPr>
      </w:pPr>
      <w:bookmarkStart w:id="74" w:name="_Toc15011"/>
      <w:bookmarkStart w:id="75" w:name="_Toc5922"/>
      <w:bookmarkStart w:id="76" w:name="_Toc24020"/>
      <w:bookmarkStart w:id="77" w:name="_Toc32762"/>
      <w:r>
        <w:rPr>
          <w:rFonts w:eastAsia="方正楷体_GBK"/>
          <w:color w:val="000000"/>
          <w:sz w:val="32"/>
          <w:szCs w:val="22"/>
        </w:rPr>
        <w:t>（一）全面营造良好消费环境</w:t>
      </w:r>
      <w:bookmarkEnd w:id="74"/>
    </w:p>
    <w:p>
      <w:pPr>
        <w:spacing w:line="580" w:lineRule="exact"/>
        <w:ind w:firstLine="640" w:firstLineChars="200"/>
        <w:rPr>
          <w:rFonts w:hint="eastAsia" w:eastAsia="方正仿宋_GBK"/>
          <w:color w:val="000000"/>
          <w:sz w:val="32"/>
          <w:szCs w:val="22"/>
        </w:rPr>
      </w:pPr>
      <w:r>
        <w:rPr>
          <w:rFonts w:eastAsia="方正仿宋_GBK"/>
          <w:color w:val="000000"/>
          <w:sz w:val="32"/>
          <w:szCs w:val="22"/>
        </w:rPr>
        <w:t>全面开展商品市场优化升级专项行动，提升消费服务标准，完善服务质量标准体系，强化服务质量监督管理，提升消费环境舒适度。引进培育优质产品、优秀企业、优良品牌，优化消费品供给结构。健全消费者权益保障制度，完善市场监测、用户权益保护、重要产品追溯等机制，营造安全放心诚信的消费环境。实施包容审慎监管，试点商圈和特色商业街负面清单管理。加强对商圈、商场、市场、大型超市、餐饮、住宿、加油站、油库、再生资源回收等的监管，加大进口冷链食品的排查监测力度，大力盘活存量专业市场，积极拓展消费市场，提升全区消费环境，满足消费升级需求。</w:t>
      </w:r>
      <w:r>
        <w:rPr>
          <w:rFonts w:hint="eastAsia" w:ascii="方正仿宋_GBK" w:hAnsi="方正仿宋_GBK" w:eastAsia="方正仿宋_GBK" w:cs="方正仿宋_GBK"/>
          <w:color w:val="000000"/>
          <w:sz w:val="32"/>
          <w:szCs w:val="32"/>
        </w:rPr>
        <w:t>加强中心城区商圈服务体系建设，积极推动智慧商圈信息服务中心、商圈公共管理中控展示中心和商圈中小商户融资服务中心建设。</w:t>
      </w:r>
    </w:p>
    <w:p>
      <w:pPr>
        <w:spacing w:line="580" w:lineRule="exact"/>
        <w:ind w:firstLine="640" w:firstLineChars="200"/>
        <w:outlineLvl w:val="1"/>
        <w:rPr>
          <w:rFonts w:eastAsia="方正楷体_GBK"/>
          <w:color w:val="000000"/>
          <w:kern w:val="0"/>
          <w:sz w:val="32"/>
          <w:szCs w:val="32"/>
        </w:rPr>
      </w:pPr>
      <w:bookmarkStart w:id="78" w:name="_Toc3279"/>
      <w:bookmarkStart w:id="79" w:name="_Toc13599"/>
      <w:bookmarkStart w:id="80" w:name="_Toc31488"/>
      <w:bookmarkStart w:id="81" w:name="_Toc26566"/>
      <w:r>
        <w:rPr>
          <w:rFonts w:eastAsia="方正楷体_GBK"/>
          <w:color w:val="000000"/>
          <w:sz w:val="32"/>
          <w:szCs w:val="22"/>
        </w:rPr>
        <w:t>（二）创新发展消费经济形态</w:t>
      </w:r>
      <w:bookmarkEnd w:id="78"/>
      <w:bookmarkEnd w:id="79"/>
      <w:bookmarkEnd w:id="80"/>
      <w:bookmarkEnd w:id="81"/>
    </w:p>
    <w:p>
      <w:pPr>
        <w:widowControl/>
        <w:spacing w:line="580" w:lineRule="exact"/>
        <w:ind w:firstLine="642" w:firstLineChars="200"/>
        <w:jc w:val="left"/>
        <w:rPr>
          <w:rFonts w:eastAsia="方正仿宋_GBK"/>
          <w:color w:val="000000"/>
          <w:kern w:val="0"/>
          <w:sz w:val="32"/>
          <w:szCs w:val="32"/>
        </w:rPr>
      </w:pPr>
      <w:r>
        <w:rPr>
          <w:rFonts w:eastAsia="方正仿宋_GBK"/>
          <w:b/>
          <w:bCs/>
          <w:color w:val="000000"/>
          <w:kern w:val="0"/>
          <w:sz w:val="32"/>
          <w:szCs w:val="32"/>
        </w:rPr>
        <w:t>加速点亮“夜间经济”</w:t>
      </w:r>
      <w:r>
        <w:rPr>
          <w:rFonts w:eastAsia="方正仿宋_GBK"/>
          <w:color w:val="000000"/>
          <w:kern w:val="0"/>
          <w:sz w:val="32"/>
          <w:szCs w:val="32"/>
        </w:rPr>
        <w:t>。以“创建市级高品质夜间经济示范区”为目标，突出民族文化特色，植入国际化、智慧化元素，鼓励商圈和特色商业街与文化、旅游、休闲等紧密结合，开设深夜营业专区、24小时便利店和“深夜食堂</w:t>
      </w:r>
      <w:r>
        <w:rPr>
          <w:rStyle w:val="31"/>
          <w:rFonts w:eastAsia="方正仿宋_GBK"/>
          <w:color w:val="000000"/>
          <w:kern w:val="0"/>
          <w:sz w:val="32"/>
          <w:szCs w:val="32"/>
        </w:rPr>
        <w:footnoteReference w:id="0"/>
      </w:r>
      <w:r>
        <w:rPr>
          <w:rFonts w:eastAsia="方正仿宋_GBK"/>
          <w:color w:val="000000"/>
          <w:kern w:val="0"/>
          <w:sz w:val="32"/>
          <w:szCs w:val="32"/>
        </w:rPr>
        <w:t>”等夜间消费场景，推动“夜品特色美食、夜享运动康养、夜赏文化艺术”成为黔江夜生活新时尚，构建促进夜间消费、彰显城市魅力“不夜黔江”IP。</w:t>
      </w:r>
    </w:p>
    <w:p>
      <w:pPr>
        <w:widowControl/>
        <w:spacing w:line="580" w:lineRule="exact"/>
        <w:ind w:firstLine="642" w:firstLineChars="200"/>
        <w:jc w:val="left"/>
        <w:rPr>
          <w:rFonts w:eastAsia="方正仿宋_GBK"/>
          <w:color w:val="000000"/>
          <w:kern w:val="0"/>
          <w:sz w:val="32"/>
          <w:szCs w:val="32"/>
        </w:rPr>
      </w:pPr>
      <w:r>
        <w:rPr>
          <w:rFonts w:eastAsia="方正仿宋_GBK"/>
          <w:b/>
          <w:bCs/>
          <w:color w:val="000000"/>
          <w:kern w:val="0"/>
          <w:sz w:val="32"/>
          <w:szCs w:val="32"/>
        </w:rPr>
        <w:t>加快发展“首店经济</w:t>
      </w:r>
      <w:r>
        <w:rPr>
          <w:rStyle w:val="31"/>
          <w:rFonts w:eastAsia="方正仿宋_GBK"/>
          <w:b/>
          <w:bCs/>
          <w:color w:val="000000"/>
          <w:kern w:val="0"/>
          <w:sz w:val="32"/>
          <w:szCs w:val="32"/>
        </w:rPr>
        <w:footnoteReference w:id="1"/>
      </w:r>
      <w:r>
        <w:rPr>
          <w:rFonts w:eastAsia="方正仿宋_GBK"/>
          <w:b/>
          <w:bCs/>
          <w:color w:val="000000"/>
          <w:kern w:val="0"/>
          <w:sz w:val="32"/>
          <w:szCs w:val="32"/>
        </w:rPr>
        <w:t>”</w:t>
      </w:r>
      <w:r>
        <w:rPr>
          <w:rFonts w:eastAsia="方正仿宋_GBK"/>
          <w:color w:val="000000"/>
          <w:kern w:val="0"/>
          <w:sz w:val="32"/>
          <w:szCs w:val="32"/>
        </w:rPr>
        <w:t>。扩大招商引资，积极推进品牌旗舰店、概念店、体验店、全系列店等首店引进，鼓励具有一定影响力的高端知名品牌、设计师品牌、高级定制品牌在黔首发新品，依托会展中心承接相关品牌首发、首秀活动，融入数字化、线上线下相结合模式，丰富品牌商品和服务供给，打造武陵山区高端品牌首选地。</w:t>
      </w:r>
    </w:p>
    <w:p>
      <w:pPr>
        <w:widowControl/>
        <w:spacing w:line="580" w:lineRule="exact"/>
        <w:ind w:firstLine="642" w:firstLineChars="200"/>
        <w:jc w:val="left"/>
        <w:rPr>
          <w:rFonts w:eastAsia="方正仿宋_GBK"/>
          <w:color w:val="000000"/>
          <w:kern w:val="0"/>
          <w:sz w:val="32"/>
          <w:szCs w:val="32"/>
        </w:rPr>
      </w:pPr>
      <w:r>
        <w:rPr>
          <w:rFonts w:eastAsia="方正仿宋_GBK"/>
          <w:b/>
          <w:bCs/>
          <w:color w:val="000000"/>
          <w:kern w:val="0"/>
          <w:sz w:val="32"/>
          <w:szCs w:val="32"/>
        </w:rPr>
        <w:t>大力培育“数字经济”</w:t>
      </w:r>
      <w:r>
        <w:rPr>
          <w:rFonts w:eastAsia="方正仿宋_GBK"/>
          <w:color w:val="000000"/>
          <w:kern w:val="0"/>
          <w:sz w:val="32"/>
          <w:szCs w:val="32"/>
        </w:rPr>
        <w:t>。积极推动正阳、大十字商圈推广消费服务领域人工智能应用，提升产品与服务的数字化水平。着力培育“平台经济”，健全“互联网+服务”、电子商务公共服务平台，提升消费信息数据共享商用水平。鼓励发展智慧旅游、大力发展智能体育，培育在线健身等消费新业态。支持依托互联网的外卖配送、网约车、即时递送、住宿共享等业态发展，探索发展智慧超市、智慧商店、智慧餐厅等新零售业态。</w:t>
      </w:r>
    </w:p>
    <w:p>
      <w:pPr>
        <w:widowControl/>
        <w:spacing w:line="580" w:lineRule="exact"/>
        <w:ind w:firstLine="642" w:firstLineChars="200"/>
        <w:jc w:val="left"/>
        <w:rPr>
          <w:rFonts w:eastAsia="方正仿宋_GBK"/>
          <w:color w:val="000000"/>
          <w:kern w:val="0"/>
          <w:sz w:val="32"/>
          <w:szCs w:val="32"/>
        </w:rPr>
      </w:pPr>
      <w:r>
        <w:rPr>
          <w:rFonts w:eastAsia="方正仿宋_GBK"/>
          <w:b/>
          <w:bCs/>
          <w:color w:val="000000"/>
          <w:kern w:val="0"/>
          <w:sz w:val="32"/>
          <w:szCs w:val="32"/>
        </w:rPr>
        <w:t>着力培育“高铁经济”</w:t>
      </w:r>
      <w:r>
        <w:rPr>
          <w:rFonts w:eastAsia="方正仿宋_GBK"/>
          <w:color w:val="000000"/>
          <w:kern w:val="0"/>
          <w:sz w:val="32"/>
          <w:szCs w:val="32"/>
        </w:rPr>
        <w:t>。积极抢抓黔江进入高铁时代的历史机遇，发挥高铁站场的枢纽作用，推进TOD模式商业综合开发建设，大力发展金融、商务、会展、电子商务、商贸、文化等业态，以互补、互融、互动为方向，加强与新城正阳商圈的联动和协作，推动高铁站场与新城正阳建设一体化、管理运营一体化，增强高铁通道的集聚辐射作用，联动武陵山区协同发展。</w:t>
      </w:r>
    </w:p>
    <w:p>
      <w:pPr>
        <w:widowControl/>
        <w:spacing w:line="580" w:lineRule="exact"/>
        <w:ind w:firstLine="642" w:firstLineChars="200"/>
        <w:jc w:val="left"/>
        <w:rPr>
          <w:rFonts w:eastAsia="方正仿宋_GBK"/>
          <w:b/>
          <w:bCs/>
          <w:color w:val="000000"/>
          <w:kern w:val="0"/>
          <w:sz w:val="32"/>
          <w:szCs w:val="32"/>
        </w:rPr>
      </w:pPr>
      <w:r>
        <w:rPr>
          <w:rFonts w:eastAsia="方正仿宋_GBK"/>
          <w:b/>
          <w:bCs/>
          <w:color w:val="000000"/>
          <w:sz w:val="32"/>
          <w:szCs w:val="32"/>
        </w:rPr>
        <w:t>积极拓展“体验经济”</w:t>
      </w:r>
      <w:r>
        <w:rPr>
          <w:rFonts w:eastAsia="方正仿宋_GBK"/>
          <w:color w:val="000000"/>
          <w:sz w:val="32"/>
          <w:szCs w:val="32"/>
        </w:rPr>
        <w:t>。大力发展信息消费体验，探索建设信息消费体验中心，运用虚拟现实（VR）、增强现实、交互娱乐等技术丰富消费体验，引导城市商圈社交化、情景化和智慧化发展。大力发展民族风情、农业生产、农村生活等体验业态。积极发展工业旅游新业态，鼓励工矿企业利用闲置厂房及其他生产设施和设备，开发建设文化类、探险类体验项目。</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54" w:type="dxa"/>
            <w:noWrap w:val="0"/>
            <w:vAlign w:val="top"/>
          </w:tcPr>
          <w:p>
            <w:pPr>
              <w:spacing w:line="440" w:lineRule="exact"/>
              <w:jc w:val="center"/>
              <w:rPr>
                <w:rFonts w:eastAsia="方正黑体_GBK"/>
                <w:bCs/>
                <w:color w:val="000000"/>
                <w:sz w:val="24"/>
              </w:rPr>
            </w:pPr>
            <w:r>
              <w:rPr>
                <w:rFonts w:eastAsia="方正黑体_GBK"/>
                <w:bCs/>
                <w:color w:val="000000"/>
                <w:sz w:val="24"/>
                <w:szCs w:val="28"/>
              </w:rPr>
              <w:t>专栏5-1：五大消费经济形态发展指引</w:t>
            </w:r>
          </w:p>
          <w:p>
            <w:pPr>
              <w:spacing w:line="440" w:lineRule="exact"/>
              <w:ind w:firstLine="481" w:firstLineChars="200"/>
              <w:jc w:val="left"/>
              <w:rPr>
                <w:rFonts w:eastAsia="方正仿宋_GBK"/>
                <w:bCs/>
                <w:color w:val="000000"/>
                <w:sz w:val="24"/>
              </w:rPr>
            </w:pPr>
            <w:r>
              <w:rPr>
                <w:rFonts w:eastAsia="方正仿宋_GBK"/>
                <w:b/>
                <w:color w:val="000000"/>
                <w:sz w:val="24"/>
              </w:rPr>
              <w:t>夜间经济</w:t>
            </w:r>
            <w:r>
              <w:rPr>
                <w:rFonts w:eastAsia="方正仿宋_GBK"/>
                <w:bCs/>
                <w:color w:val="000000"/>
                <w:sz w:val="24"/>
              </w:rPr>
              <w:t>。美食狂欢夜、酒吧特色派对等主题活动</w:t>
            </w:r>
            <w:r>
              <w:rPr>
                <w:rFonts w:hint="eastAsia" w:eastAsia="方正仿宋_GBK"/>
                <w:bCs/>
                <w:color w:val="000000"/>
                <w:sz w:val="24"/>
              </w:rPr>
              <w:t>，</w:t>
            </w:r>
            <w:r>
              <w:rPr>
                <w:rFonts w:eastAsia="方正仿宋_GBK"/>
                <w:bCs/>
                <w:color w:val="000000"/>
                <w:sz w:val="24"/>
              </w:rPr>
              <w:t>“重激情”“轻时尚”夜间体育运动</w:t>
            </w:r>
            <w:r>
              <w:rPr>
                <w:rFonts w:hint="eastAsia" w:eastAsia="方正仿宋_GBK"/>
                <w:bCs/>
                <w:color w:val="000000"/>
                <w:sz w:val="24"/>
              </w:rPr>
              <w:t>，</w:t>
            </w:r>
            <w:r>
              <w:rPr>
                <w:rFonts w:eastAsia="方正仿宋_GBK"/>
                <w:bCs/>
                <w:color w:val="000000"/>
                <w:sz w:val="24"/>
              </w:rPr>
              <w:t>民族歌舞演艺、非遗等“不夜黔江”文化艺术主题活动，夜游“打卡地”。</w:t>
            </w:r>
          </w:p>
          <w:p>
            <w:pPr>
              <w:spacing w:line="440" w:lineRule="exact"/>
              <w:ind w:firstLine="481" w:firstLineChars="200"/>
              <w:jc w:val="left"/>
              <w:rPr>
                <w:rFonts w:eastAsia="方正仿宋_GBK"/>
                <w:color w:val="000000"/>
              </w:rPr>
            </w:pPr>
            <w:r>
              <w:rPr>
                <w:rFonts w:eastAsia="方正仿宋_GBK"/>
                <w:b/>
                <w:color w:val="000000"/>
                <w:sz w:val="24"/>
              </w:rPr>
              <w:t>首店经济</w:t>
            </w:r>
            <w:r>
              <w:rPr>
                <w:rFonts w:eastAsia="方正仿宋_GBK"/>
                <w:bCs/>
                <w:color w:val="000000"/>
                <w:sz w:val="24"/>
              </w:rPr>
              <w:t>。非遗产品、服装服饰等专业新品发布平台</w:t>
            </w:r>
            <w:r>
              <w:rPr>
                <w:rFonts w:hint="eastAsia" w:eastAsia="方正仿宋_GBK"/>
                <w:bCs/>
                <w:color w:val="000000"/>
                <w:sz w:val="24"/>
              </w:rPr>
              <w:t>，</w:t>
            </w:r>
            <w:r>
              <w:rPr>
                <w:rFonts w:eastAsia="方正仿宋_GBK"/>
                <w:bCs/>
                <w:color w:val="000000"/>
                <w:sz w:val="24"/>
              </w:rPr>
              <w:t>原创自主品牌发布</w:t>
            </w:r>
            <w:r>
              <w:rPr>
                <w:rFonts w:hint="eastAsia" w:eastAsia="方正仿宋_GBK"/>
                <w:bCs/>
                <w:color w:val="000000"/>
                <w:sz w:val="24"/>
              </w:rPr>
              <w:t>，</w:t>
            </w:r>
            <w:r>
              <w:rPr>
                <w:rFonts w:eastAsia="方正仿宋_GBK"/>
                <w:bCs/>
                <w:color w:val="000000"/>
                <w:sz w:val="24"/>
              </w:rPr>
              <w:t>国内外品牌武陵山区首店。</w:t>
            </w:r>
          </w:p>
          <w:p>
            <w:pPr>
              <w:spacing w:line="440" w:lineRule="exact"/>
              <w:ind w:firstLine="481" w:firstLineChars="200"/>
              <w:jc w:val="left"/>
              <w:rPr>
                <w:rFonts w:eastAsia="方正仿宋_GBK"/>
                <w:color w:val="000000"/>
              </w:rPr>
            </w:pPr>
            <w:r>
              <w:rPr>
                <w:rFonts w:eastAsia="方正仿宋_GBK"/>
                <w:b/>
                <w:color w:val="000000"/>
                <w:sz w:val="24"/>
              </w:rPr>
              <w:t>数字经济</w:t>
            </w:r>
            <w:r>
              <w:rPr>
                <w:rFonts w:eastAsia="方正仿宋_GBK"/>
                <w:bCs/>
                <w:color w:val="000000"/>
                <w:sz w:val="24"/>
              </w:rPr>
              <w:t>。蚕桑纺织、烟草、特色农副产品等特色产业互联网平台</w:t>
            </w:r>
            <w:r>
              <w:rPr>
                <w:rFonts w:hint="eastAsia" w:eastAsia="方正仿宋_GBK"/>
                <w:bCs/>
                <w:color w:val="000000"/>
                <w:sz w:val="24"/>
              </w:rPr>
              <w:t>，</w:t>
            </w:r>
            <w:r>
              <w:rPr>
                <w:rFonts w:eastAsia="方正仿宋_GBK"/>
                <w:bCs/>
                <w:color w:val="000000"/>
                <w:sz w:val="24"/>
              </w:rPr>
              <w:t>社区服务等消费平台</w:t>
            </w:r>
            <w:r>
              <w:rPr>
                <w:rFonts w:hint="eastAsia" w:eastAsia="方正仿宋_GBK"/>
                <w:bCs/>
                <w:color w:val="000000"/>
                <w:sz w:val="24"/>
              </w:rPr>
              <w:t>，</w:t>
            </w:r>
            <w:r>
              <w:rPr>
                <w:rFonts w:eastAsia="方正仿宋_GBK"/>
                <w:bCs/>
                <w:color w:val="000000"/>
                <w:sz w:val="24"/>
              </w:rPr>
              <w:t>“直播电商”“社交电商”“微信电商”“社区生活管家”等新零售，“云旅游”模式，数字孪生景区。</w:t>
            </w:r>
          </w:p>
          <w:p>
            <w:pPr>
              <w:spacing w:line="440" w:lineRule="exact"/>
              <w:ind w:firstLine="481" w:firstLineChars="200"/>
              <w:jc w:val="left"/>
              <w:rPr>
                <w:rFonts w:eastAsia="方正仿宋_GBK"/>
                <w:bCs/>
                <w:color w:val="000000"/>
                <w:sz w:val="24"/>
              </w:rPr>
            </w:pPr>
            <w:r>
              <w:rPr>
                <w:rFonts w:eastAsia="方正仿宋_GBK"/>
                <w:b/>
                <w:color w:val="000000"/>
                <w:sz w:val="24"/>
              </w:rPr>
              <w:t>高铁经济</w:t>
            </w:r>
            <w:r>
              <w:rPr>
                <w:rFonts w:eastAsia="方正仿宋_GBK"/>
                <w:bCs/>
                <w:color w:val="000000"/>
                <w:sz w:val="24"/>
              </w:rPr>
              <w:t>。现代商业商务集聚区，商贸、会展、现代物流、电子商务等特色门户经济、枢纽经济、流量经济</w:t>
            </w:r>
            <w:r>
              <w:rPr>
                <w:rFonts w:hint="eastAsia" w:eastAsia="方正仿宋_GBK"/>
                <w:bCs/>
                <w:color w:val="000000"/>
                <w:sz w:val="24"/>
              </w:rPr>
              <w:t>形态</w:t>
            </w:r>
            <w:r>
              <w:rPr>
                <w:rFonts w:eastAsia="方正仿宋_GBK"/>
                <w:bCs/>
                <w:color w:val="000000"/>
                <w:sz w:val="24"/>
              </w:rPr>
              <w:t>。</w:t>
            </w:r>
          </w:p>
          <w:p>
            <w:pPr>
              <w:spacing w:line="440" w:lineRule="exact"/>
              <w:ind w:firstLine="481" w:firstLineChars="200"/>
              <w:jc w:val="left"/>
              <w:rPr>
                <w:rFonts w:eastAsia="方正仿宋_GBK"/>
                <w:color w:val="000000"/>
              </w:rPr>
            </w:pPr>
            <w:r>
              <w:rPr>
                <w:rFonts w:eastAsia="方正仿宋_GBK"/>
                <w:b/>
                <w:color w:val="000000"/>
                <w:sz w:val="24"/>
              </w:rPr>
              <w:t>体验经济</w:t>
            </w:r>
            <w:r>
              <w:rPr>
                <w:rFonts w:eastAsia="方正仿宋_GBK"/>
                <w:bCs/>
                <w:color w:val="000000"/>
                <w:sz w:val="24"/>
              </w:rPr>
              <w:t>。AR试衣、无人超市、VR场景体验馆</w:t>
            </w:r>
            <w:r>
              <w:rPr>
                <w:rFonts w:hint="eastAsia" w:eastAsia="方正仿宋_GBK"/>
                <w:bCs/>
                <w:color w:val="000000"/>
                <w:sz w:val="24"/>
              </w:rPr>
              <w:t>，</w:t>
            </w:r>
            <w:r>
              <w:rPr>
                <w:rFonts w:eastAsia="方正仿宋_GBK"/>
                <w:bCs/>
                <w:color w:val="000000"/>
                <w:sz w:val="24"/>
              </w:rPr>
              <w:t>民俗文化特色和“非遗”传承特点的沉浸式在线文化旅游产品。</w:t>
            </w:r>
          </w:p>
        </w:tc>
      </w:tr>
    </w:tbl>
    <w:p>
      <w:pPr>
        <w:widowControl/>
        <w:spacing w:line="580" w:lineRule="exact"/>
        <w:ind w:firstLine="640" w:firstLineChars="200"/>
        <w:outlineLvl w:val="1"/>
        <w:rPr>
          <w:rFonts w:eastAsia="方正楷体_GBK"/>
          <w:color w:val="000000"/>
          <w:sz w:val="32"/>
          <w:szCs w:val="22"/>
        </w:rPr>
      </w:pPr>
      <w:bookmarkStart w:id="82" w:name="_Toc5676"/>
      <w:r>
        <w:rPr>
          <w:rFonts w:eastAsia="方正楷体_GBK"/>
          <w:color w:val="000000"/>
          <w:sz w:val="32"/>
          <w:szCs w:val="22"/>
        </w:rPr>
        <w:t>（三）着力打造区域会展中心</w:t>
      </w:r>
      <w:bookmarkEnd w:id="82"/>
    </w:p>
    <w:p>
      <w:pPr>
        <w:spacing w:line="580" w:lineRule="exact"/>
        <w:ind w:firstLine="642" w:firstLineChars="200"/>
        <w:rPr>
          <w:rFonts w:eastAsia="方正仿宋_GBK"/>
          <w:color w:val="000000"/>
          <w:sz w:val="32"/>
          <w:szCs w:val="32"/>
        </w:rPr>
      </w:pPr>
      <w:r>
        <w:rPr>
          <w:rFonts w:eastAsia="方正仿宋_GBK"/>
          <w:b/>
          <w:bCs/>
          <w:color w:val="000000"/>
          <w:sz w:val="32"/>
          <w:szCs w:val="32"/>
        </w:rPr>
        <w:t>推进会展场馆及其配套设施建设</w:t>
      </w:r>
      <w:r>
        <w:rPr>
          <w:rFonts w:eastAsia="方正仿宋_GBK"/>
          <w:color w:val="000000"/>
          <w:sz w:val="32"/>
          <w:szCs w:val="32"/>
        </w:rPr>
        <w:t>。推动黔江区文体中心建设，运用人脸识别、大数据分析、云计算等科技手段推进智慧场馆建设，推动周边市政道路等设施建设，逐步完善酒店、餐饮等配套服务设施，推动新城正阳打造区域综合性、大型专业展、大型演出及商务会议的主要承接地。着力提升老城区会展功能，重点发展中小型专业展、消费展和巡回展，打造区域中小型专业会展集聚区。推动濯水古镇会展经济拓展区建设，完善会展场馆及其配套设施，</w:t>
      </w:r>
      <w:r>
        <w:rPr>
          <w:rFonts w:hint="eastAsia" w:eastAsia="方正仿宋_GBK"/>
          <w:color w:val="000000"/>
          <w:sz w:val="32"/>
          <w:szCs w:val="32"/>
        </w:rPr>
        <w:t>构建</w:t>
      </w:r>
      <w:r>
        <w:rPr>
          <w:rFonts w:eastAsia="方正仿宋_GBK"/>
          <w:color w:val="000000"/>
          <w:sz w:val="32"/>
          <w:szCs w:val="32"/>
        </w:rPr>
        <w:t>适合非遗文化、民族文化传承与发展的会展体系，着力提升会展业国际化、专业化水平，增强会展业的吸引力和影响力。全力构建空间布局合理、民族特色鲜明、配套设施完备的会展场馆体系，统筹协调全区会展场馆资源，健全运营体系，全面提升会展场馆运营水平。</w:t>
      </w:r>
    </w:p>
    <w:p>
      <w:pPr>
        <w:spacing w:line="580" w:lineRule="exact"/>
        <w:ind w:firstLine="642" w:firstLineChars="200"/>
        <w:rPr>
          <w:rFonts w:eastAsia="方正仿宋_GBK"/>
          <w:color w:val="000000"/>
          <w:sz w:val="32"/>
          <w:szCs w:val="32"/>
        </w:rPr>
      </w:pPr>
      <w:r>
        <w:rPr>
          <w:rFonts w:eastAsia="方正仿宋_GBK"/>
          <w:b/>
          <w:bCs/>
          <w:color w:val="000000"/>
          <w:sz w:val="32"/>
          <w:szCs w:val="32"/>
        </w:rPr>
        <w:t>培育一批具有竞争力的会展企业</w:t>
      </w:r>
      <w:r>
        <w:rPr>
          <w:rFonts w:eastAsia="方正仿宋_GBK"/>
          <w:color w:val="000000"/>
          <w:sz w:val="32"/>
          <w:szCs w:val="32"/>
        </w:rPr>
        <w:t>。大力培育会展领军企业，鼓励会展场馆运营机构、品牌展会主办单位通过模式复制、品牌输出等方式“走出去”做大做强，打造具有区域竞争力的会展企业。积极引进一批知名会展主办单位、会展服务机构来黔江设立机构，开展会展业务。加强与南坪会展中心、悦来会展中心等知名会展机构开展全方位交流与战略合作，积极加入知名会展组织，吸引更多品牌企业来黔江举办展览和会议。积极打造会展业服务集聚区，推动发展设计、搭建、布展、广告等专业服务，培育一批社会化、专业化、国际化的会展配套服务企业，逐步建立涵盖专业展览公司、会展策划、设计搭建等产业链企业集群，大力推动本土会展企业上规模、提档次，增强竞争力。到2025年，培育规模以上会展企业2家以上。</w:t>
      </w:r>
    </w:p>
    <w:p>
      <w:pPr>
        <w:spacing w:line="580" w:lineRule="exact"/>
        <w:ind w:firstLine="642" w:firstLineChars="200"/>
        <w:rPr>
          <w:rFonts w:eastAsia="方正仿宋_GBK"/>
          <w:color w:val="000000"/>
          <w:sz w:val="32"/>
          <w:szCs w:val="32"/>
        </w:rPr>
      </w:pPr>
      <w:r>
        <w:rPr>
          <w:rFonts w:eastAsia="方正仿宋_GBK"/>
          <w:b/>
          <w:bCs/>
          <w:color w:val="000000"/>
          <w:sz w:val="32"/>
          <w:szCs w:val="32"/>
        </w:rPr>
        <w:t>打造一批具有影响力的品牌展览</w:t>
      </w:r>
      <w:r>
        <w:rPr>
          <w:rFonts w:eastAsia="方正仿宋_GBK"/>
          <w:color w:val="000000"/>
          <w:sz w:val="32"/>
          <w:szCs w:val="32"/>
        </w:rPr>
        <w:t>。围绕非遗文化、民族歌舞、体育赛事、特色美食等优势领域，打响“濯水谣”等一批演艺品牌，将武陵山国际民俗文化旅游节、中国“黔江鸡杂”美食文化节、中国山地马拉松系列赛、原创大型民族歌舞诗剧“两节一赛一会一剧”打造成为全国知名文化节会品牌。推动会展业品牌化发展，大力实施品牌展会发展计划，加强对品牌展会的资金扶持、排期保护、宣传推广等全方位政策支持，培育打造一批具有较大区域影响力的品牌展会，着力引进具有影响力的品牌会展，积极举办汽车展、家具展及“中国土家族文学奖”“中国少数民族优秀电影展影周”等促进消费、传承文化的品牌展会活动。依托茧丝绸、非遗文化、生态旅游、体育赛事等产业优势，积极创办非遗、老字号、创意设计、民俗风情等文创展会。积极筹办在国内有影响力的专业论坛，争取承办市级博览会、交易会，吸引国内龙头企业、行业组织来</w:t>
      </w:r>
      <w:r>
        <w:rPr>
          <w:rFonts w:hint="eastAsia" w:eastAsia="方正仿宋_GBK"/>
          <w:color w:val="000000"/>
          <w:sz w:val="32"/>
          <w:szCs w:val="32"/>
        </w:rPr>
        <w:t>黔江</w:t>
      </w:r>
      <w:r>
        <w:rPr>
          <w:rFonts w:eastAsia="方正仿宋_GBK"/>
          <w:color w:val="000000"/>
          <w:sz w:val="32"/>
          <w:szCs w:val="32"/>
        </w:rPr>
        <w:t>组织召开主题论坛、年会。推动建立渝东南区域会展业合作机制，鼓励通过联合参加境内外展览、联合办展、联合推广等方式提升品牌展览的区域影响力。</w:t>
      </w:r>
    </w:p>
    <w:p>
      <w:pPr>
        <w:spacing w:line="580" w:lineRule="exact"/>
        <w:ind w:firstLine="642" w:firstLineChars="200"/>
        <w:rPr>
          <w:rFonts w:eastAsia="方正仿宋_GBK"/>
          <w:color w:val="000000"/>
          <w:sz w:val="32"/>
          <w:szCs w:val="32"/>
        </w:rPr>
      </w:pPr>
      <w:r>
        <w:rPr>
          <w:rFonts w:eastAsia="方正仿宋_GBK"/>
          <w:b/>
          <w:bCs/>
          <w:color w:val="000000"/>
          <w:sz w:val="32"/>
          <w:szCs w:val="32"/>
        </w:rPr>
        <w:t>着力提升会展服务水平</w:t>
      </w:r>
      <w:r>
        <w:rPr>
          <w:rFonts w:eastAsia="方正仿宋_GBK"/>
          <w:color w:val="000000"/>
          <w:sz w:val="32"/>
          <w:szCs w:val="32"/>
        </w:rPr>
        <w:t>。加强与传统媒体、新媒体以及机场、铁路、公交等单位的合作，在渝东南主要交通枢纽统一租用广告牌，发布会展档期和招商引资信息。</w:t>
      </w:r>
      <w:r>
        <w:rPr>
          <w:rFonts w:eastAsia="方正仿宋_GBK"/>
          <w:color w:val="000000"/>
          <w:kern w:val="0"/>
          <w:sz w:val="32"/>
          <w:szCs w:val="32"/>
        </w:rPr>
        <w:t>加强会展业信息化建设，推动人工智能、物联网、传感器、AR等信息技术的应用，积极搭建会展大数据平台，</w:t>
      </w:r>
      <w:r>
        <w:rPr>
          <w:rFonts w:eastAsia="方正仿宋_GBK"/>
          <w:color w:val="000000"/>
          <w:sz w:val="32"/>
          <w:szCs w:val="32"/>
        </w:rPr>
        <w:t>完善会展配套服务功能，提高展会接待能力。优化展会交通环境，鼓励设置参展交通专线，完善乘机配套服务，探索在机场设置绿色通道，探索开展联程联运及行李直挂业务，为大型展会提供出行便利。</w:t>
      </w:r>
      <w:r>
        <w:rPr>
          <w:rFonts w:hint="eastAsia" w:eastAsia="方正仿宋_GBK"/>
          <w:color w:val="000000"/>
          <w:sz w:val="32"/>
          <w:szCs w:val="32"/>
        </w:rPr>
        <w:t>完善</w:t>
      </w:r>
      <w:r>
        <w:rPr>
          <w:rFonts w:eastAsia="方正仿宋_GBK"/>
          <w:color w:val="000000"/>
          <w:sz w:val="32"/>
          <w:szCs w:val="32"/>
        </w:rPr>
        <w:t>展馆周边住宿、旅游、消费指引，</w:t>
      </w:r>
      <w:r>
        <w:rPr>
          <w:rFonts w:hint="eastAsia" w:eastAsia="方正仿宋_GBK"/>
          <w:color w:val="000000"/>
          <w:sz w:val="32"/>
          <w:szCs w:val="32"/>
        </w:rPr>
        <w:t>引导</w:t>
      </w:r>
      <w:r>
        <w:rPr>
          <w:rFonts w:eastAsia="方正仿宋_GBK"/>
          <w:color w:val="000000"/>
          <w:sz w:val="32"/>
          <w:szCs w:val="32"/>
        </w:rPr>
        <w:t>鼓励参会场馆单位、宾馆饭店、景区（点）和周边购物中心之间在会展活动的招徕与承办中形成合力，发挥整体联动效应，拉动展会消费。</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eastAsia="方正黑体_GBK"/>
                <w:bCs/>
                <w:color w:val="000000"/>
                <w:sz w:val="24"/>
                <w:szCs w:val="28"/>
              </w:rPr>
            </w:pPr>
            <w:bookmarkStart w:id="83" w:name="_Hlk58284366"/>
            <w:r>
              <w:rPr>
                <w:rFonts w:eastAsia="方正黑体_GBK"/>
                <w:bCs/>
                <w:color w:val="000000"/>
                <w:sz w:val="24"/>
                <w:szCs w:val="28"/>
              </w:rPr>
              <w:t>专栏5-2：会展业发展重点</w:t>
            </w:r>
          </w:p>
          <w:bookmarkEnd w:id="83"/>
          <w:p>
            <w:pPr>
              <w:spacing w:line="480" w:lineRule="exact"/>
              <w:ind w:firstLine="481" w:firstLineChars="200"/>
              <w:rPr>
                <w:rFonts w:eastAsia="方正仿宋_GBK"/>
                <w:color w:val="000000"/>
                <w:sz w:val="24"/>
                <w:szCs w:val="32"/>
              </w:rPr>
            </w:pPr>
            <w:r>
              <w:rPr>
                <w:rFonts w:eastAsia="方正仿宋_GBK"/>
                <w:b/>
                <w:bCs/>
                <w:color w:val="000000"/>
                <w:sz w:val="24"/>
                <w:szCs w:val="32"/>
              </w:rPr>
              <w:t>会展设施</w:t>
            </w:r>
            <w:r>
              <w:rPr>
                <w:rFonts w:eastAsia="方正仿宋_GBK"/>
                <w:color w:val="000000"/>
                <w:sz w:val="24"/>
                <w:szCs w:val="32"/>
              </w:rPr>
              <w:t>。2-5万平方米的会展场馆</w:t>
            </w:r>
            <w:r>
              <w:rPr>
                <w:rFonts w:hint="eastAsia" w:eastAsia="方正仿宋_GBK"/>
                <w:color w:val="000000"/>
                <w:sz w:val="24"/>
                <w:szCs w:val="32"/>
              </w:rPr>
              <w:t>（</w:t>
            </w:r>
            <w:r>
              <w:rPr>
                <w:rFonts w:eastAsia="方正仿宋_GBK"/>
                <w:color w:val="000000"/>
                <w:sz w:val="24"/>
                <w:szCs w:val="32"/>
              </w:rPr>
              <w:t>黔江文体中心</w:t>
            </w:r>
            <w:r>
              <w:rPr>
                <w:rFonts w:hint="eastAsia" w:eastAsia="方正仿宋_GBK"/>
                <w:color w:val="000000"/>
                <w:sz w:val="24"/>
                <w:szCs w:val="32"/>
              </w:rPr>
              <w:t>），</w:t>
            </w:r>
            <w:r>
              <w:rPr>
                <w:rFonts w:eastAsia="方正仿宋_GBK"/>
                <w:color w:val="000000"/>
                <w:sz w:val="24"/>
                <w:szCs w:val="32"/>
              </w:rPr>
              <w:t>会展经济拓展区</w:t>
            </w:r>
            <w:r>
              <w:rPr>
                <w:rFonts w:hint="eastAsia" w:eastAsia="方正仿宋_GBK"/>
                <w:color w:val="000000"/>
                <w:sz w:val="24"/>
                <w:szCs w:val="32"/>
              </w:rPr>
              <w:t>（濯水</w:t>
            </w:r>
            <w:r>
              <w:rPr>
                <w:rFonts w:eastAsia="方正仿宋_GBK"/>
                <w:color w:val="000000"/>
                <w:sz w:val="24"/>
                <w:szCs w:val="32"/>
              </w:rPr>
              <w:t>古镇5A级景区</w:t>
            </w:r>
            <w:r>
              <w:rPr>
                <w:rFonts w:hint="eastAsia" w:eastAsia="方正仿宋_GBK"/>
                <w:color w:val="000000"/>
                <w:sz w:val="24"/>
                <w:szCs w:val="32"/>
              </w:rPr>
              <w:t>）</w:t>
            </w:r>
            <w:r>
              <w:rPr>
                <w:rFonts w:eastAsia="方正仿宋_GBK"/>
                <w:color w:val="000000"/>
                <w:sz w:val="24"/>
                <w:szCs w:val="32"/>
              </w:rPr>
              <w:t>。</w:t>
            </w:r>
          </w:p>
          <w:p>
            <w:pPr>
              <w:spacing w:line="480" w:lineRule="exact"/>
              <w:ind w:firstLine="481" w:firstLineChars="200"/>
              <w:rPr>
                <w:rFonts w:eastAsia="方正仿宋_GBK"/>
                <w:color w:val="000000"/>
                <w:sz w:val="24"/>
                <w:szCs w:val="32"/>
              </w:rPr>
            </w:pPr>
            <w:r>
              <w:rPr>
                <w:rFonts w:eastAsia="方正仿宋_GBK"/>
                <w:b/>
                <w:bCs/>
                <w:color w:val="000000"/>
                <w:sz w:val="24"/>
                <w:szCs w:val="32"/>
              </w:rPr>
              <w:t>会展服务</w:t>
            </w:r>
            <w:r>
              <w:rPr>
                <w:rFonts w:eastAsia="方正仿宋_GBK"/>
                <w:color w:val="000000"/>
                <w:sz w:val="24"/>
                <w:szCs w:val="32"/>
              </w:rPr>
              <w:t>。策划、广告、印刷、设计、安装、租赁、现场服务。</w:t>
            </w:r>
          </w:p>
          <w:p>
            <w:pPr>
              <w:spacing w:line="480" w:lineRule="exact"/>
              <w:ind w:firstLine="481" w:firstLineChars="200"/>
              <w:rPr>
                <w:rFonts w:eastAsia="方正仿宋_GBK"/>
                <w:color w:val="000000"/>
                <w:sz w:val="24"/>
                <w:szCs w:val="32"/>
              </w:rPr>
            </w:pPr>
            <w:r>
              <w:rPr>
                <w:rFonts w:eastAsia="方正仿宋_GBK"/>
                <w:b/>
                <w:bCs/>
                <w:color w:val="000000"/>
                <w:sz w:val="24"/>
                <w:szCs w:val="32"/>
              </w:rPr>
              <w:t>会展品牌</w:t>
            </w:r>
            <w:r>
              <w:rPr>
                <w:rFonts w:eastAsia="方正仿宋_GBK"/>
                <w:color w:val="000000"/>
                <w:sz w:val="24"/>
                <w:szCs w:val="32"/>
              </w:rPr>
              <w:t>。“原创大型民族歌舞诗剧”“武陵山国际民俗文化旅游节”等。</w:t>
            </w:r>
          </w:p>
        </w:tc>
      </w:tr>
    </w:tbl>
    <w:p>
      <w:pPr>
        <w:widowControl/>
        <w:spacing w:line="580" w:lineRule="exact"/>
        <w:ind w:firstLine="640" w:firstLineChars="200"/>
        <w:outlineLvl w:val="1"/>
        <w:rPr>
          <w:rFonts w:eastAsia="方正楷体_GBK"/>
          <w:color w:val="000000"/>
          <w:sz w:val="32"/>
          <w:szCs w:val="22"/>
        </w:rPr>
      </w:pPr>
      <w:bookmarkStart w:id="84" w:name="_Toc30353"/>
      <w:r>
        <w:rPr>
          <w:rFonts w:eastAsia="方正楷体_GBK"/>
          <w:color w:val="000000"/>
          <w:sz w:val="32"/>
          <w:szCs w:val="22"/>
        </w:rPr>
        <w:t>（四）加快打造现代城市商圈</w:t>
      </w:r>
      <w:bookmarkEnd w:id="75"/>
      <w:bookmarkEnd w:id="76"/>
      <w:bookmarkEnd w:id="77"/>
      <w:bookmarkEnd w:id="84"/>
    </w:p>
    <w:p>
      <w:pPr>
        <w:pStyle w:val="148"/>
        <w:spacing w:line="580" w:lineRule="exact"/>
        <w:ind w:firstLine="642" w:firstLineChars="200"/>
        <w:rPr>
          <w:rFonts w:ascii="Times New Roman" w:eastAsia="方正仿宋_GBK" w:cs="Times New Roman"/>
          <w:bCs/>
          <w:sz w:val="32"/>
          <w:szCs w:val="22"/>
        </w:rPr>
      </w:pPr>
      <w:r>
        <w:rPr>
          <w:rFonts w:ascii="Times New Roman" w:eastAsia="方正仿宋_GBK" w:cs="Times New Roman"/>
          <w:b/>
          <w:sz w:val="32"/>
          <w:szCs w:val="22"/>
        </w:rPr>
        <w:t>着力打造新城正阳商圈</w:t>
      </w:r>
      <w:r>
        <w:rPr>
          <w:rFonts w:ascii="Times New Roman" w:eastAsia="方正仿宋_GBK" w:cs="Times New Roman"/>
          <w:bCs/>
          <w:sz w:val="32"/>
          <w:szCs w:val="22"/>
        </w:rPr>
        <w:t>。加快推进正阳三磊商业综合体建设，建立公共停车智能服务系统，加快公共场所国际化引导标识和便利化服务设施规划建设。</w:t>
      </w:r>
      <w:r>
        <w:rPr>
          <w:rFonts w:hint="eastAsia" w:ascii="Times New Roman" w:eastAsia="方正仿宋_GBK" w:cs="Times New Roman"/>
          <w:bCs/>
          <w:sz w:val="32"/>
          <w:szCs w:val="22"/>
        </w:rPr>
        <w:t>积极</w:t>
      </w:r>
      <w:r>
        <w:rPr>
          <w:rFonts w:ascii="Times New Roman" w:eastAsia="方正仿宋_GBK" w:cs="Times New Roman"/>
          <w:bCs/>
          <w:sz w:val="32"/>
          <w:szCs w:val="22"/>
        </w:rPr>
        <w:t>引进知名品牌“首店”、旗舰店、体验店和连锁店，</w:t>
      </w:r>
      <w:r>
        <w:rPr>
          <w:rFonts w:hint="eastAsia" w:ascii="Times New Roman" w:eastAsia="方正仿宋_GBK" w:cs="Times New Roman"/>
          <w:bCs/>
          <w:sz w:val="32"/>
          <w:szCs w:val="22"/>
        </w:rPr>
        <w:t>推进</w:t>
      </w:r>
      <w:r>
        <w:rPr>
          <w:rFonts w:ascii="Times New Roman" w:eastAsia="方正仿宋_GBK" w:cs="Times New Roman"/>
          <w:bCs/>
          <w:sz w:val="32"/>
          <w:szCs w:val="22"/>
        </w:rPr>
        <w:t>三磊商业综合体配套五星级酒店</w:t>
      </w:r>
      <w:r>
        <w:rPr>
          <w:rFonts w:hint="eastAsia" w:ascii="Times New Roman" w:eastAsia="方正仿宋_GBK" w:cs="Times New Roman"/>
          <w:bCs/>
          <w:sz w:val="32"/>
          <w:szCs w:val="22"/>
        </w:rPr>
        <w:t>投入使用，规划建设中高端星级酒店，</w:t>
      </w:r>
      <w:r>
        <w:rPr>
          <w:rFonts w:ascii="Times New Roman" w:eastAsia="方正仿宋_GBK" w:cs="Times New Roman"/>
          <w:bCs/>
          <w:sz w:val="32"/>
          <w:szCs w:val="22"/>
        </w:rPr>
        <w:t>引进高端酒店集团和酒店管理品牌，强化高端消费服务功能。做大做强武陵山区进口商品授权分销中心，加快推进黔江跨境商品展示体验交易中心建设，开设跨境电商O2O体验店，引进和培育品牌连锁便利店。引进国内外知名餐饮品牌、特色美食，推广武陵山珍、黔江鸡杂等地方特色美食。推动民族文化展示中心和旅游消费品创新创意中心建设。发展智慧零售、无人零售，打造智慧商场、绿色商场。推动正阳商圈打造集商务、会议、展览、购物、食宿、文化休闲等功能于一体的城市CBD。</w:t>
      </w:r>
    </w:p>
    <w:p>
      <w:pPr>
        <w:pStyle w:val="148"/>
        <w:spacing w:line="580" w:lineRule="exact"/>
        <w:ind w:firstLine="642" w:firstLineChars="200"/>
        <w:rPr>
          <w:rFonts w:ascii="Times New Roman" w:eastAsia="方正仿宋_GBK" w:cs="Times New Roman"/>
          <w:bCs/>
          <w:sz w:val="32"/>
          <w:szCs w:val="22"/>
        </w:rPr>
      </w:pPr>
      <w:r>
        <w:rPr>
          <w:rFonts w:ascii="Times New Roman" w:eastAsia="方正仿宋_GBK" w:cs="Times New Roman"/>
          <w:b/>
          <w:sz w:val="32"/>
          <w:szCs w:val="22"/>
        </w:rPr>
        <w:t>推进大十字商圈扩容升级</w:t>
      </w:r>
      <w:r>
        <w:rPr>
          <w:rFonts w:ascii="Times New Roman" w:eastAsia="方正仿宋_GBK" w:cs="Times New Roman"/>
          <w:bCs/>
          <w:sz w:val="32"/>
          <w:szCs w:val="22"/>
        </w:rPr>
        <w:t>。推动大十字商圈与南海鑫城、解放路商业街、武陵水岸、三岔河休闲美食长廊等联动发展，推动实体零售企业加快数字化、智能化改造和跨界融合，打造区域消费中心核心区。完善大十字商圈配套功能和商业业态，</w:t>
      </w:r>
      <w:r>
        <w:rPr>
          <w:rFonts w:hint="eastAsia" w:ascii="Times New Roman" w:eastAsia="方正仿宋_GBK" w:cs="Times New Roman"/>
          <w:bCs/>
          <w:sz w:val="32"/>
          <w:szCs w:val="22"/>
        </w:rPr>
        <w:t>积极引进</w:t>
      </w:r>
      <w:r>
        <w:rPr>
          <w:rFonts w:ascii="Times New Roman" w:eastAsia="方正仿宋_GBK" w:cs="Times New Roman"/>
          <w:bCs/>
          <w:sz w:val="32"/>
          <w:szCs w:val="22"/>
        </w:rPr>
        <w:t>国内外知名餐饮品牌、特色美食</w:t>
      </w:r>
      <w:r>
        <w:rPr>
          <w:rFonts w:hint="eastAsia" w:ascii="Times New Roman" w:eastAsia="方正仿宋_GBK" w:cs="Times New Roman"/>
          <w:bCs/>
          <w:sz w:val="32"/>
          <w:szCs w:val="22"/>
        </w:rPr>
        <w:t>，大力</w:t>
      </w:r>
      <w:r>
        <w:rPr>
          <w:rFonts w:ascii="Times New Roman" w:eastAsia="方正仿宋_GBK" w:cs="Times New Roman"/>
          <w:bCs/>
          <w:sz w:val="32"/>
          <w:szCs w:val="22"/>
        </w:rPr>
        <w:t>引进高端品牌酒店，完善星级酒店服务功能，提升</w:t>
      </w:r>
      <w:r>
        <w:rPr>
          <w:rFonts w:hint="eastAsia" w:ascii="Times New Roman" w:eastAsia="方正仿宋_GBK" w:cs="Times New Roman"/>
          <w:bCs/>
          <w:sz w:val="32"/>
          <w:szCs w:val="22"/>
        </w:rPr>
        <w:t>酒店餐饮业</w:t>
      </w:r>
      <w:r>
        <w:rPr>
          <w:rFonts w:ascii="Times New Roman" w:eastAsia="方正仿宋_GBK" w:cs="Times New Roman"/>
          <w:bCs/>
          <w:sz w:val="32"/>
          <w:szCs w:val="22"/>
        </w:rPr>
        <w:t>服务品质。大力推进大十字商圈经营主体改造提升，向场景化、体验式、互动性、综合型消费场所转型，加快国际品牌、高端产业等要素资源集聚融合，打造高品质城市核心商圈。积极推动解放路商业街经营困难的传统百货店改造为消费体验中心、健身休闲娱乐中心等新型消费载体。完善三岔河河滨体育休闲运动线路和体育旅游项目，完善商业文化配套，打造城市体育嘉年华。推动大十字商圈形成集时尚购物、休闲娱乐、特色美食、酒店住宿于一体的现代智慧商圈。</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54" w:type="dxa"/>
            <w:noWrap w:val="0"/>
            <w:vAlign w:val="top"/>
          </w:tcPr>
          <w:p>
            <w:pPr>
              <w:spacing w:line="440" w:lineRule="exact"/>
              <w:jc w:val="center"/>
              <w:rPr>
                <w:rFonts w:eastAsia="方正黑体_GBK"/>
                <w:bCs/>
                <w:color w:val="000000"/>
                <w:sz w:val="24"/>
                <w:szCs w:val="28"/>
              </w:rPr>
            </w:pPr>
            <w:r>
              <w:rPr>
                <w:rFonts w:eastAsia="方正黑体_GBK"/>
                <w:bCs/>
                <w:color w:val="000000"/>
                <w:sz w:val="24"/>
                <w:szCs w:val="28"/>
              </w:rPr>
              <w:t>专栏5-3：两大城市商圈建设重点</w:t>
            </w:r>
          </w:p>
          <w:p>
            <w:pPr>
              <w:spacing w:line="440" w:lineRule="exact"/>
              <w:ind w:firstLine="481" w:firstLineChars="200"/>
              <w:jc w:val="left"/>
              <w:rPr>
                <w:rFonts w:eastAsia="方正仿宋_GBK"/>
                <w:bCs/>
                <w:color w:val="000000"/>
                <w:sz w:val="24"/>
              </w:rPr>
            </w:pPr>
            <w:r>
              <w:rPr>
                <w:rFonts w:eastAsia="方正仿宋_GBK"/>
                <w:b/>
                <w:color w:val="000000"/>
                <w:sz w:val="24"/>
              </w:rPr>
              <w:t>正阳商圈</w:t>
            </w:r>
            <w:r>
              <w:rPr>
                <w:rFonts w:eastAsia="方正仿宋_GBK"/>
                <w:bCs/>
                <w:color w:val="000000"/>
                <w:sz w:val="24"/>
              </w:rPr>
              <w:t>。商业综合体、星级酒店、大型商超</w:t>
            </w:r>
            <w:r>
              <w:rPr>
                <w:rFonts w:hint="eastAsia" w:eastAsia="方正仿宋_GBK"/>
                <w:bCs/>
                <w:color w:val="000000"/>
                <w:sz w:val="24"/>
              </w:rPr>
              <w:t>，</w:t>
            </w:r>
            <w:r>
              <w:rPr>
                <w:rFonts w:eastAsia="方正仿宋_GBK"/>
                <w:bCs/>
                <w:color w:val="000000"/>
                <w:sz w:val="24"/>
              </w:rPr>
              <w:t>民族文化展示中心、旅游消费品创新创意中心。</w:t>
            </w:r>
          </w:p>
          <w:p>
            <w:pPr>
              <w:spacing w:line="440" w:lineRule="exact"/>
              <w:ind w:firstLine="481" w:firstLineChars="200"/>
              <w:jc w:val="left"/>
              <w:rPr>
                <w:rFonts w:eastAsia="方正仿宋_GBK"/>
                <w:color w:val="000000"/>
              </w:rPr>
            </w:pPr>
            <w:r>
              <w:rPr>
                <w:rFonts w:eastAsia="方正仿宋_GBK"/>
                <w:b/>
                <w:color w:val="000000"/>
                <w:sz w:val="24"/>
              </w:rPr>
              <w:t>大十字商圈</w:t>
            </w:r>
            <w:r>
              <w:rPr>
                <w:rFonts w:eastAsia="方正仿宋_GBK"/>
                <w:bCs/>
                <w:color w:val="000000"/>
                <w:sz w:val="24"/>
              </w:rPr>
              <w:t>。基础设施智能化改造、高端品牌酒店、区域首店、风貌改造。</w:t>
            </w:r>
          </w:p>
        </w:tc>
      </w:tr>
    </w:tbl>
    <w:p>
      <w:pPr>
        <w:widowControl/>
        <w:spacing w:line="580" w:lineRule="exact"/>
        <w:ind w:firstLine="640" w:firstLineChars="200"/>
        <w:outlineLvl w:val="1"/>
        <w:rPr>
          <w:rFonts w:eastAsia="方正楷体_GBK"/>
          <w:color w:val="000000"/>
          <w:sz w:val="32"/>
          <w:szCs w:val="22"/>
        </w:rPr>
      </w:pPr>
      <w:bookmarkStart w:id="85" w:name="_Toc13356"/>
      <w:bookmarkStart w:id="86" w:name="_Toc3749"/>
      <w:bookmarkStart w:id="87" w:name="_Toc11157"/>
      <w:bookmarkStart w:id="88" w:name="_Toc6185"/>
      <w:r>
        <w:rPr>
          <w:rFonts w:eastAsia="方正楷体_GBK"/>
          <w:color w:val="000000"/>
          <w:sz w:val="32"/>
          <w:szCs w:val="22"/>
        </w:rPr>
        <w:t>（五）培育一批特色商业街区</w:t>
      </w:r>
      <w:bookmarkEnd w:id="85"/>
      <w:bookmarkEnd w:id="86"/>
      <w:bookmarkEnd w:id="87"/>
      <w:bookmarkEnd w:id="88"/>
    </w:p>
    <w:p>
      <w:pPr>
        <w:pStyle w:val="148"/>
        <w:spacing w:line="580" w:lineRule="exact"/>
        <w:ind w:firstLine="642" w:firstLineChars="200"/>
        <w:jc w:val="both"/>
        <w:rPr>
          <w:rFonts w:ascii="Times New Roman" w:eastAsia="方正仿宋_GBK" w:cs="Times New Roman"/>
          <w:sz w:val="32"/>
          <w:szCs w:val="22"/>
        </w:rPr>
      </w:pPr>
      <w:r>
        <w:rPr>
          <w:rFonts w:ascii="Times New Roman" w:eastAsia="方正仿宋_GBK" w:cs="Times New Roman"/>
          <w:b/>
          <w:bCs/>
          <w:sz w:val="32"/>
          <w:szCs w:val="32"/>
        </w:rPr>
        <w:t>改造升级四大特色街区</w:t>
      </w:r>
      <w:r>
        <w:rPr>
          <w:rFonts w:ascii="Times New Roman" w:eastAsia="方正仿宋_GBK" w:cs="Times New Roman"/>
          <w:sz w:val="32"/>
          <w:szCs w:val="32"/>
        </w:rPr>
        <w:t>。以建设濯水非遗小镇为契机，推动濯水古镇非遗美食城提档升级，以“非遗美食、非遗技艺、非遗红色文化”为主题，实施中华老字号保护发展工程，提升景区商业业态，开发具有黔江民族特色的旅游商品，推动非遗展示中心、旅游免税商品直销基地建设，</w:t>
      </w:r>
      <w:r>
        <w:rPr>
          <w:rFonts w:hint="eastAsia" w:ascii="Times New Roman" w:eastAsia="方正仿宋_GBK" w:cs="Times New Roman"/>
          <w:sz w:val="32"/>
          <w:szCs w:val="32"/>
        </w:rPr>
        <w:t>积极引进知名餐饮品牌、特色美食，</w:t>
      </w:r>
      <w:r>
        <w:rPr>
          <w:rFonts w:hint="eastAsia" w:ascii="Times New Roman" w:eastAsia="方正仿宋_GBK" w:cs="Times New Roman"/>
          <w:bCs/>
          <w:sz w:val="32"/>
          <w:szCs w:val="22"/>
        </w:rPr>
        <w:t>推进</w:t>
      </w:r>
      <w:r>
        <w:rPr>
          <w:rFonts w:ascii="Times New Roman" w:eastAsia="方正仿宋_GBK" w:cs="Times New Roman"/>
          <w:bCs/>
          <w:sz w:val="32"/>
          <w:szCs w:val="22"/>
        </w:rPr>
        <w:t>主题酒店和</w:t>
      </w:r>
      <w:r>
        <w:rPr>
          <w:rFonts w:hint="eastAsia" w:ascii="Times New Roman" w:eastAsia="方正仿宋_GBK" w:cs="Times New Roman"/>
          <w:bCs/>
          <w:sz w:val="32"/>
          <w:szCs w:val="22"/>
        </w:rPr>
        <w:t>特色</w:t>
      </w:r>
      <w:r>
        <w:rPr>
          <w:rFonts w:ascii="Times New Roman" w:eastAsia="方正仿宋_GBK" w:cs="Times New Roman"/>
          <w:bCs/>
          <w:sz w:val="32"/>
          <w:szCs w:val="22"/>
        </w:rPr>
        <w:t>民宿</w:t>
      </w:r>
      <w:r>
        <w:rPr>
          <w:rFonts w:hint="eastAsia" w:ascii="Times New Roman" w:eastAsia="方正仿宋_GBK" w:cs="Times New Roman"/>
          <w:bCs/>
          <w:sz w:val="32"/>
          <w:szCs w:val="22"/>
        </w:rPr>
        <w:t>建设</w:t>
      </w:r>
      <w:r>
        <w:rPr>
          <w:rFonts w:ascii="Times New Roman" w:eastAsia="方正仿宋_GBK" w:cs="Times New Roman"/>
          <w:bCs/>
          <w:sz w:val="32"/>
          <w:szCs w:val="22"/>
        </w:rPr>
        <w:t>，</w:t>
      </w:r>
      <w:r>
        <w:rPr>
          <w:rFonts w:ascii="Times New Roman" w:eastAsia="方正仿宋_GBK" w:cs="Times New Roman"/>
          <w:sz w:val="32"/>
          <w:szCs w:val="32"/>
        </w:rPr>
        <w:t>打造渝东南片区唯一以非物质文化遗产为主题的特色旅游商业街区。深入挖掘黔江本土餐饮文化内涵，大力</w:t>
      </w:r>
      <w:r>
        <w:rPr>
          <w:rFonts w:ascii="Times New Roman" w:eastAsia="方正仿宋_GBK" w:cs="Times New Roman"/>
          <w:sz w:val="32"/>
          <w:szCs w:val="22"/>
        </w:rPr>
        <w:t>推动民族风情城美食街扩容升级，优化功能配套和商业业态，开发推广西兰卡普、竹编、黔江鸡杂等老字号民俗工艺品和土特产品，</w:t>
      </w:r>
      <w:r>
        <w:rPr>
          <w:rFonts w:hint="eastAsia" w:ascii="Times New Roman" w:eastAsia="方正仿宋_GBK" w:cs="Times New Roman"/>
          <w:bCs/>
          <w:sz w:val="32"/>
          <w:szCs w:val="22"/>
        </w:rPr>
        <w:t>推进中高端星级酒店建设，</w:t>
      </w:r>
      <w:r>
        <w:rPr>
          <w:rFonts w:ascii="Times New Roman" w:eastAsia="方正仿宋_GBK" w:cs="Times New Roman"/>
          <w:sz w:val="32"/>
          <w:szCs w:val="22"/>
        </w:rPr>
        <w:t>打造集民俗文化、传统文化、美食文化于一体的</w:t>
      </w:r>
      <w:r>
        <w:rPr>
          <w:rFonts w:ascii="Times New Roman" w:eastAsia="方正仿宋_GBK" w:cs="Times New Roman"/>
          <w:sz w:val="32"/>
          <w:szCs w:val="32"/>
        </w:rPr>
        <w:t>“民族风情城美食街”。</w:t>
      </w:r>
      <w:r>
        <w:rPr>
          <w:rFonts w:ascii="Times New Roman" w:eastAsia="方正仿宋_GBK" w:cs="Times New Roman"/>
          <w:bCs/>
          <w:sz w:val="32"/>
          <w:szCs w:val="22"/>
        </w:rPr>
        <w:t>以“河滨休闲、康体养生、文化艺术”为主题，完善三岔河休闲美食长廊</w:t>
      </w:r>
      <w:r>
        <w:rPr>
          <w:rFonts w:ascii="Times New Roman" w:eastAsia="方正仿宋_GBK" w:cs="Times New Roman"/>
          <w:sz w:val="32"/>
          <w:szCs w:val="32"/>
        </w:rPr>
        <w:t>商业服务功能，</w:t>
      </w:r>
      <w:r>
        <w:rPr>
          <w:rFonts w:ascii="Times New Roman" w:eastAsia="方正仿宋_GBK" w:cs="Times New Roman"/>
          <w:bCs/>
          <w:sz w:val="32"/>
          <w:szCs w:val="22"/>
        </w:rPr>
        <w:t>打造具有区域影响力的旅游餐饮品牌，</w:t>
      </w:r>
      <w:r>
        <w:rPr>
          <w:rFonts w:ascii="Times New Roman" w:eastAsia="方正仿宋_GBK" w:cs="Times New Roman"/>
          <w:sz w:val="32"/>
          <w:szCs w:val="32"/>
        </w:rPr>
        <w:t>丰富餐饮、儿童、文创、运动、康养等商业业态，积极开发河滨体育休闲运动线路，积极举办民族歌舞演艺、特色节会等活动</w:t>
      </w:r>
      <w:r>
        <w:rPr>
          <w:rFonts w:ascii="Times New Roman" w:eastAsia="方正仿宋_GBK" w:cs="Times New Roman"/>
          <w:bCs/>
          <w:sz w:val="32"/>
          <w:szCs w:val="22"/>
        </w:rPr>
        <w:t>。大力推动解放路精品商业街存量商业重塑，加强“智慧商街”建设，积极引进</w:t>
      </w:r>
      <w:r>
        <w:rPr>
          <w:rFonts w:ascii="Times New Roman" w:eastAsia="方正仿宋_GBK" w:cs="Times New Roman"/>
          <w:bCs/>
          <w:sz w:val="32"/>
          <w:szCs w:val="32"/>
        </w:rPr>
        <w:t>品牌购物、主题餐饮、形象商务、沉浸式体验等商业业态，打造一条独具魅力的“解放路精品商业街”。</w:t>
      </w:r>
    </w:p>
    <w:p>
      <w:pPr>
        <w:pStyle w:val="148"/>
        <w:spacing w:line="580" w:lineRule="exact"/>
        <w:ind w:firstLine="642" w:firstLineChars="200"/>
        <w:jc w:val="both"/>
        <w:rPr>
          <w:rFonts w:ascii="Times New Roman" w:eastAsia="方正仿宋_GBK" w:cs="Times New Roman"/>
          <w:sz w:val="32"/>
          <w:szCs w:val="32"/>
        </w:rPr>
      </w:pPr>
      <w:r>
        <w:rPr>
          <w:rFonts w:ascii="Times New Roman" w:eastAsia="方正仿宋_GBK" w:cs="Times New Roman"/>
          <w:b/>
          <w:bCs/>
          <w:sz w:val="32"/>
          <w:szCs w:val="32"/>
        </w:rPr>
        <w:t>打造三大高品质商业步行街。</w:t>
      </w:r>
      <w:r>
        <w:rPr>
          <w:rFonts w:ascii="Times New Roman" w:eastAsia="方正仿宋_GBK" w:cs="Times New Roman"/>
          <w:sz w:val="32"/>
          <w:szCs w:val="32"/>
        </w:rPr>
        <w:t>以“国际范、时尚潮”为主题，加快推动黔江高铁商业街、中央公园十字金街和碧桂园商业街等建设，集聚国际消费资源，积极引进国内外特色品牌，集中发展品牌旗舰店、体验店、主题店和高端定制等新型业态，培育老字号等特色优势</w:t>
      </w:r>
      <w:r>
        <w:rPr>
          <w:rFonts w:hint="eastAsia" w:ascii="Times New Roman" w:eastAsia="方正仿宋_GBK" w:cs="Times New Roman"/>
          <w:sz w:val="32"/>
          <w:szCs w:val="32"/>
        </w:rPr>
        <w:t>，</w:t>
      </w:r>
      <w:r>
        <w:rPr>
          <w:rFonts w:hint="eastAsia" w:ascii="Times New Roman" w:eastAsia="方正仿宋_GBK" w:cs="Times New Roman"/>
          <w:bCs/>
          <w:sz w:val="32"/>
          <w:szCs w:val="22"/>
        </w:rPr>
        <w:t>推进中高端星级酒店建设，</w:t>
      </w:r>
      <w:r>
        <w:rPr>
          <w:rFonts w:hint="eastAsia" w:ascii="Times New Roman" w:eastAsia="方正仿宋_GBK" w:cs="Times New Roman"/>
          <w:sz w:val="32"/>
          <w:szCs w:val="32"/>
        </w:rPr>
        <w:t>积极引进知名餐饮品牌、特色美食，</w:t>
      </w:r>
      <w:r>
        <w:rPr>
          <w:rFonts w:ascii="Times New Roman" w:eastAsia="方正仿宋_GBK" w:cs="Times New Roman"/>
          <w:sz w:val="32"/>
          <w:szCs w:val="32"/>
        </w:rPr>
        <w:t>完善配套服务功能。</w:t>
      </w:r>
      <w:r>
        <w:rPr>
          <w:rFonts w:hint="eastAsia" w:ascii="Times New Roman" w:eastAsia="方正仿宋_GBK" w:cs="Times New Roman"/>
          <w:sz w:val="32"/>
          <w:szCs w:val="32"/>
        </w:rPr>
        <w:t>积极</w:t>
      </w:r>
      <w:r>
        <w:rPr>
          <w:rFonts w:ascii="Times New Roman" w:eastAsia="方正仿宋_GBK" w:cs="Times New Roman"/>
          <w:sz w:val="32"/>
          <w:szCs w:val="32"/>
        </w:rPr>
        <w:t>发挥高铁经济的支撑引领作用，大力推动黔江高铁商业街与黔江高铁TOD项目联动发展，打造渝东南首个高铁商业街，增强黔江消费的区域引领提升辐射带动能力。推动中央公园十字金街、碧桂园商业街与规划展览馆、商业综合体、</w:t>
      </w:r>
      <w:r>
        <w:rPr>
          <w:rFonts w:ascii="Times New Roman" w:eastAsia="方正仿宋_GBK" w:cs="Times New Roman"/>
          <w:sz w:val="32"/>
          <w:szCs w:val="22"/>
        </w:rPr>
        <w:t>进口商品授权分销中心和析松岭带状公园等串联发展</w:t>
      </w:r>
      <w:r>
        <w:rPr>
          <w:rFonts w:ascii="Times New Roman" w:eastAsia="方正仿宋_GBK" w:cs="Times New Roman"/>
          <w:sz w:val="32"/>
          <w:szCs w:val="32"/>
        </w:rPr>
        <w:t>，</w:t>
      </w:r>
      <w:r>
        <w:rPr>
          <w:rFonts w:ascii="Times New Roman" w:eastAsia="方正仿宋_GBK" w:cs="Times New Roman"/>
          <w:sz w:val="32"/>
          <w:szCs w:val="22"/>
        </w:rPr>
        <w:t>打造两大国际化、高品质的商业</w:t>
      </w:r>
      <w:r>
        <w:rPr>
          <w:rFonts w:ascii="Times New Roman" w:eastAsia="方正仿宋_GBK" w:cs="Times New Roman"/>
          <w:sz w:val="32"/>
          <w:szCs w:val="32"/>
        </w:rPr>
        <w:t>步行街</w:t>
      </w:r>
      <w:r>
        <w:rPr>
          <w:rFonts w:ascii="Times New Roman" w:eastAsia="方正仿宋_GBK" w:cs="Times New Roman"/>
          <w:sz w:val="32"/>
          <w:szCs w:val="22"/>
        </w:rPr>
        <w:t>区</w:t>
      </w:r>
      <w:r>
        <w:rPr>
          <w:rFonts w:ascii="Times New Roman" w:eastAsia="方正仿宋_GBK" w:cs="Times New Roman"/>
          <w:sz w:val="32"/>
          <w:szCs w:val="32"/>
        </w:rPr>
        <w:t>。</w:t>
      </w:r>
    </w:p>
    <w:p>
      <w:pPr>
        <w:pStyle w:val="148"/>
        <w:spacing w:line="580" w:lineRule="exact"/>
        <w:ind w:firstLine="642" w:firstLineChars="200"/>
        <w:jc w:val="both"/>
        <w:rPr>
          <w:rFonts w:ascii="Times New Roman" w:cs="Times New Roman"/>
        </w:rPr>
      </w:pPr>
      <w:r>
        <w:rPr>
          <w:rFonts w:ascii="Times New Roman" w:eastAsia="方正仿宋_GBK" w:cs="Times New Roman"/>
          <w:b/>
          <w:bCs/>
          <w:sz w:val="32"/>
          <w:szCs w:val="32"/>
        </w:rPr>
        <w:t>加快建设两大特色夜市街区</w:t>
      </w:r>
      <w:r>
        <w:rPr>
          <w:rFonts w:ascii="Times New Roman" w:eastAsia="方正仿宋_GBK" w:cs="Times New Roman"/>
          <w:sz w:val="32"/>
          <w:szCs w:val="32"/>
        </w:rPr>
        <w:t>。</w:t>
      </w:r>
      <w:r>
        <w:rPr>
          <w:rFonts w:ascii="Times New Roman" w:eastAsia="方正仿宋_GBK" w:cs="Times New Roman"/>
          <w:bCs/>
          <w:sz w:val="32"/>
          <w:szCs w:val="32"/>
        </w:rPr>
        <w:t>积极创建市级特色夜市街区，</w:t>
      </w:r>
      <w:r>
        <w:rPr>
          <w:rFonts w:ascii="Times New Roman" w:eastAsia="方正仿宋_GBK" w:cs="Times New Roman"/>
          <w:bCs/>
          <w:sz w:val="32"/>
          <w:szCs w:val="22"/>
        </w:rPr>
        <w:t>以“特色美食、文化休闲”为主题，</w:t>
      </w:r>
      <w:r>
        <w:rPr>
          <w:rFonts w:ascii="Times New Roman" w:eastAsia="方正仿宋_GBK" w:cs="Times New Roman"/>
          <w:sz w:val="32"/>
          <w:szCs w:val="32"/>
        </w:rPr>
        <w:t>优化伴山国际夜市配套功能和商业业态，大力引进品牌餐饮、特色餐厅、咖啡茶饮、画廊艺馆，发展特色夜景区、特色夜美食、特色夜娱乐、特色夜购物等业态，丰富夜间生活、促进夜间消费、激活夜间城市，着力打造一条“高品质特色夜市街区”。</w:t>
      </w:r>
      <w:r>
        <w:rPr>
          <w:rFonts w:ascii="Times New Roman" w:eastAsia="方正仿宋_GBK" w:cs="Times New Roman"/>
          <w:bCs/>
          <w:sz w:val="32"/>
          <w:szCs w:val="32"/>
        </w:rPr>
        <w:t>推动“黔江玖街”开发电竞、电玩、歌舞、街头演艺等夜间娱乐项目，策划组织系列电影、演艺、非遗、文创、展览等“不夜黔江”文化艺术主题活动，加快</w:t>
      </w:r>
      <w:r>
        <w:rPr>
          <w:rFonts w:ascii="Times New Roman" w:eastAsia="方正仿宋_GBK" w:cs="Times New Roman"/>
          <w:bCs/>
          <w:sz w:val="32"/>
          <w:szCs w:val="22"/>
        </w:rPr>
        <w:t>打造集“开放、科技、潮流、秀场、文化”五大主题元素于一体的“黔江玖街”。</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5" w:hRule="atLeast"/>
          <w:jc w:val="center"/>
        </w:trPr>
        <w:tc>
          <w:tcPr>
            <w:tcW w:w="8854" w:type="dxa"/>
            <w:noWrap w:val="0"/>
            <w:vAlign w:val="top"/>
          </w:tcPr>
          <w:p>
            <w:pPr>
              <w:spacing w:line="440" w:lineRule="exact"/>
              <w:jc w:val="center"/>
              <w:rPr>
                <w:rFonts w:eastAsia="方正黑体_GBK"/>
                <w:bCs/>
                <w:color w:val="000000"/>
                <w:sz w:val="24"/>
                <w:szCs w:val="28"/>
              </w:rPr>
            </w:pPr>
            <w:r>
              <w:rPr>
                <w:rFonts w:eastAsia="方正黑体_GBK"/>
                <w:bCs/>
                <w:color w:val="000000"/>
                <w:sz w:val="24"/>
                <w:szCs w:val="28"/>
              </w:rPr>
              <w:t>专栏5-4：特色商业街区</w:t>
            </w:r>
          </w:p>
          <w:p>
            <w:pPr>
              <w:spacing w:line="440" w:lineRule="exact"/>
              <w:ind w:firstLine="481" w:firstLineChars="200"/>
              <w:jc w:val="left"/>
              <w:rPr>
                <w:rFonts w:eastAsia="方正仿宋_GBK"/>
                <w:bCs/>
                <w:color w:val="000000"/>
                <w:sz w:val="24"/>
              </w:rPr>
            </w:pPr>
            <w:r>
              <w:rPr>
                <w:rFonts w:eastAsia="方正仿宋_GBK"/>
                <w:b/>
                <w:color w:val="000000"/>
                <w:sz w:val="24"/>
              </w:rPr>
              <w:t>四大特色街区</w:t>
            </w:r>
            <w:r>
              <w:rPr>
                <w:rFonts w:eastAsia="方正仿宋_GBK"/>
                <w:bCs/>
                <w:color w:val="000000"/>
                <w:sz w:val="24"/>
              </w:rPr>
              <w:t>。扩容升级</w:t>
            </w:r>
            <w:r>
              <w:rPr>
                <w:rFonts w:eastAsia="方正仿宋_GBK"/>
                <w:color w:val="000000"/>
                <w:sz w:val="24"/>
                <w:lang w:bidi="ar"/>
              </w:rPr>
              <w:t>濯水古镇非遗美食城、民族风情城美食街，改造升级三岔河休闲美食长廊、解放路精品商业街</w:t>
            </w:r>
            <w:r>
              <w:rPr>
                <w:rFonts w:eastAsia="方正仿宋_GBK"/>
                <w:bCs/>
                <w:color w:val="000000"/>
                <w:sz w:val="24"/>
              </w:rPr>
              <w:t>。</w:t>
            </w:r>
          </w:p>
          <w:p>
            <w:pPr>
              <w:spacing w:line="440" w:lineRule="exact"/>
              <w:ind w:firstLine="481" w:firstLineChars="200"/>
              <w:jc w:val="left"/>
              <w:rPr>
                <w:rFonts w:eastAsia="方正仿宋_GBK"/>
                <w:b/>
                <w:color w:val="000000"/>
                <w:sz w:val="24"/>
              </w:rPr>
            </w:pPr>
            <w:r>
              <w:rPr>
                <w:rFonts w:eastAsia="方正仿宋_GBK"/>
                <w:b/>
                <w:color w:val="000000"/>
                <w:sz w:val="24"/>
              </w:rPr>
              <w:t>三大商业步行街区</w:t>
            </w:r>
            <w:r>
              <w:rPr>
                <w:rFonts w:eastAsia="方正仿宋_GBK"/>
                <w:bCs/>
                <w:color w:val="000000"/>
                <w:sz w:val="24"/>
              </w:rPr>
              <w:t>。黔江高铁商业街、中央公园十字金街、碧桂园商业街。</w:t>
            </w:r>
          </w:p>
          <w:p>
            <w:pPr>
              <w:spacing w:line="440" w:lineRule="exact"/>
              <w:ind w:firstLine="481" w:firstLineChars="200"/>
              <w:jc w:val="left"/>
              <w:rPr>
                <w:rFonts w:eastAsia="方正仿宋_GBK"/>
                <w:color w:val="000000"/>
              </w:rPr>
            </w:pPr>
            <w:r>
              <w:rPr>
                <w:rFonts w:eastAsia="方正仿宋_GBK"/>
                <w:b/>
                <w:color w:val="000000"/>
                <w:sz w:val="24"/>
              </w:rPr>
              <w:t>两大特色夜市街区</w:t>
            </w:r>
            <w:r>
              <w:rPr>
                <w:rFonts w:eastAsia="方正仿宋_GBK"/>
                <w:bCs/>
                <w:color w:val="000000"/>
                <w:sz w:val="24"/>
              </w:rPr>
              <w:t>。伴山国际夜市、黔江玖街。</w:t>
            </w:r>
          </w:p>
        </w:tc>
      </w:tr>
    </w:tbl>
    <w:p>
      <w:pPr>
        <w:widowControl/>
        <w:spacing w:line="580" w:lineRule="exact"/>
        <w:ind w:firstLine="640" w:firstLineChars="200"/>
        <w:outlineLvl w:val="1"/>
        <w:rPr>
          <w:rFonts w:eastAsia="方正楷体_GBK"/>
          <w:color w:val="000000"/>
          <w:sz w:val="32"/>
          <w:szCs w:val="22"/>
        </w:rPr>
      </w:pPr>
      <w:bookmarkStart w:id="89" w:name="_Toc24602"/>
      <w:bookmarkStart w:id="90" w:name="_Toc3409"/>
      <w:bookmarkStart w:id="91" w:name="_Toc17246"/>
      <w:bookmarkStart w:id="92" w:name="_Toc1573"/>
      <w:r>
        <w:rPr>
          <w:rFonts w:eastAsia="方正楷体_GBK"/>
          <w:color w:val="000000"/>
          <w:sz w:val="32"/>
          <w:szCs w:val="22"/>
        </w:rPr>
        <w:t>（六）优化社区商业</w:t>
      </w:r>
      <w:bookmarkEnd w:id="89"/>
      <w:bookmarkEnd w:id="90"/>
      <w:bookmarkEnd w:id="91"/>
      <w:r>
        <w:rPr>
          <w:rFonts w:eastAsia="方正楷体_GBK"/>
          <w:color w:val="000000"/>
          <w:sz w:val="32"/>
          <w:szCs w:val="22"/>
        </w:rPr>
        <w:t>服务设施</w:t>
      </w:r>
      <w:bookmarkEnd w:id="92"/>
    </w:p>
    <w:p>
      <w:pPr>
        <w:spacing w:line="580" w:lineRule="exact"/>
        <w:ind w:firstLine="642" w:firstLineChars="200"/>
        <w:rPr>
          <w:rFonts w:eastAsia="方正仿宋_GBK"/>
          <w:color w:val="000000"/>
          <w:sz w:val="32"/>
          <w:szCs w:val="32"/>
        </w:rPr>
      </w:pPr>
      <w:r>
        <w:rPr>
          <w:rFonts w:eastAsia="方正仿宋_GBK"/>
          <w:b/>
          <w:color w:val="000000"/>
          <w:sz w:val="32"/>
          <w:szCs w:val="22"/>
        </w:rPr>
        <w:t>推动社区商业设施建设</w:t>
      </w:r>
      <w:r>
        <w:rPr>
          <w:rFonts w:eastAsia="方正仿宋_GBK"/>
          <w:bCs/>
          <w:color w:val="000000"/>
          <w:sz w:val="32"/>
          <w:szCs w:val="22"/>
        </w:rPr>
        <w:t>。强化社区商业网络规划，推进新城正阳、新城舟白新建一批多功能综合型现代社区商业网点，推动城西、城南、城东等老城区改造一批社区生活服务中心，统筹推进生活服务设施建设，优化社区便民服务供给，</w:t>
      </w:r>
      <w:r>
        <w:rPr>
          <w:rFonts w:hint="eastAsia" w:eastAsia="方正仿宋_GBK"/>
          <w:bCs/>
          <w:color w:val="000000"/>
          <w:sz w:val="32"/>
          <w:szCs w:val="22"/>
        </w:rPr>
        <w:t>完善住宿餐饮服务业态，积极</w:t>
      </w:r>
      <w:r>
        <w:rPr>
          <w:rFonts w:eastAsia="方正仿宋_GBK"/>
          <w:bCs/>
          <w:color w:val="000000"/>
          <w:sz w:val="32"/>
          <w:szCs w:val="22"/>
        </w:rPr>
        <w:t>引进国内外知名餐饮品牌、特色美食，</w:t>
      </w:r>
      <w:r>
        <w:rPr>
          <w:rFonts w:hint="eastAsia" w:eastAsia="方正仿宋_GBK"/>
          <w:bCs/>
          <w:color w:val="000000"/>
          <w:sz w:val="32"/>
          <w:szCs w:val="22"/>
        </w:rPr>
        <w:t>推进中高端星级酒店建设，</w:t>
      </w:r>
      <w:r>
        <w:rPr>
          <w:rFonts w:eastAsia="方正仿宋_GBK"/>
          <w:bCs/>
          <w:color w:val="000000"/>
          <w:sz w:val="32"/>
          <w:szCs w:val="22"/>
        </w:rPr>
        <w:t>打造“15分钟便民生活服务圈”。</w:t>
      </w:r>
      <w:r>
        <w:rPr>
          <w:rFonts w:eastAsia="方正仿宋_GBK"/>
          <w:color w:val="000000"/>
          <w:sz w:val="32"/>
          <w:szCs w:val="32"/>
        </w:rPr>
        <w:t>积极推进智慧社区建设，搭建智慧社区服务平台，拓展“微生活”“云社区”等新服务模式，丰富社区便民服务内容，激活社区商业，打造集生活服务和社区治理于一体的社区生活管家。</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854" w:type="dxa"/>
            <w:noWrap w:val="0"/>
            <w:vAlign w:val="top"/>
          </w:tcPr>
          <w:p>
            <w:pPr>
              <w:spacing w:line="440" w:lineRule="exact"/>
              <w:jc w:val="center"/>
              <w:rPr>
                <w:rFonts w:eastAsia="方正仿宋_GBK"/>
                <w:b/>
                <w:color w:val="000000"/>
                <w:sz w:val="24"/>
              </w:rPr>
            </w:pPr>
            <w:r>
              <w:rPr>
                <w:rFonts w:eastAsia="方正黑体_GBK"/>
                <w:bCs/>
                <w:color w:val="000000"/>
                <w:sz w:val="24"/>
                <w:szCs w:val="28"/>
              </w:rPr>
              <w:t>专栏5-5：社区商业设施建设重点方向</w:t>
            </w:r>
          </w:p>
          <w:p>
            <w:pPr>
              <w:spacing w:line="440" w:lineRule="exact"/>
              <w:ind w:firstLine="481" w:firstLineChars="200"/>
              <w:jc w:val="left"/>
              <w:rPr>
                <w:rFonts w:eastAsia="方正仿宋_GBK"/>
                <w:b/>
                <w:color w:val="000000"/>
                <w:sz w:val="24"/>
              </w:rPr>
            </w:pPr>
            <w:r>
              <w:rPr>
                <w:rFonts w:eastAsia="方正仿宋_GBK"/>
                <w:b/>
                <w:color w:val="000000"/>
                <w:sz w:val="24"/>
              </w:rPr>
              <w:t>正阳街道</w:t>
            </w:r>
            <w:r>
              <w:rPr>
                <w:rFonts w:eastAsia="方正仿宋_GBK"/>
                <w:bCs/>
                <w:color w:val="000000"/>
                <w:sz w:val="24"/>
              </w:rPr>
              <w:t>。社区便民消费设施，城市社区邻里中心，数字化街区。</w:t>
            </w:r>
          </w:p>
          <w:p>
            <w:pPr>
              <w:spacing w:line="440" w:lineRule="exact"/>
              <w:ind w:firstLine="481" w:firstLineChars="200"/>
              <w:jc w:val="left"/>
              <w:rPr>
                <w:rFonts w:eastAsia="方正仿宋_GBK"/>
                <w:bCs/>
                <w:color w:val="000000"/>
                <w:sz w:val="24"/>
              </w:rPr>
            </w:pPr>
            <w:r>
              <w:rPr>
                <w:rFonts w:eastAsia="方正仿宋_GBK"/>
                <w:b/>
                <w:color w:val="000000"/>
                <w:sz w:val="24"/>
              </w:rPr>
              <w:t>城西街道</w:t>
            </w:r>
            <w:r>
              <w:rPr>
                <w:rFonts w:eastAsia="方正仿宋_GBK"/>
                <w:bCs/>
                <w:color w:val="000000"/>
                <w:sz w:val="24"/>
              </w:rPr>
              <w:t>。农贸市场、社区便民服务设施、品牌连锁便利店。</w:t>
            </w:r>
          </w:p>
          <w:p>
            <w:pPr>
              <w:spacing w:line="440" w:lineRule="exact"/>
              <w:ind w:firstLine="481" w:firstLineChars="200"/>
              <w:jc w:val="left"/>
              <w:rPr>
                <w:rFonts w:eastAsia="方正仿宋_GBK"/>
                <w:bCs/>
                <w:color w:val="000000"/>
                <w:sz w:val="24"/>
              </w:rPr>
            </w:pPr>
            <w:r>
              <w:rPr>
                <w:rFonts w:eastAsia="方正仿宋_GBK"/>
                <w:b/>
                <w:color w:val="000000"/>
                <w:sz w:val="24"/>
              </w:rPr>
              <w:t>城南街道</w:t>
            </w:r>
            <w:r>
              <w:rPr>
                <w:rFonts w:eastAsia="方正仿宋_GBK"/>
                <w:bCs/>
                <w:color w:val="000000"/>
                <w:sz w:val="24"/>
              </w:rPr>
              <w:t>。品牌连锁便利店、无人商店、智能商超等新零售，健身休闲、竞赛表演、场馆服务等商业设施。</w:t>
            </w:r>
          </w:p>
          <w:p>
            <w:pPr>
              <w:spacing w:line="440" w:lineRule="exact"/>
              <w:ind w:firstLine="481" w:firstLineChars="200"/>
              <w:jc w:val="left"/>
              <w:rPr>
                <w:rFonts w:eastAsia="方正仿宋_GBK"/>
                <w:bCs/>
                <w:color w:val="000000"/>
                <w:sz w:val="24"/>
              </w:rPr>
            </w:pPr>
            <w:r>
              <w:rPr>
                <w:rFonts w:eastAsia="方正仿宋_GBK"/>
                <w:b/>
                <w:color w:val="000000"/>
                <w:sz w:val="24"/>
              </w:rPr>
              <w:t>城东街道</w:t>
            </w:r>
            <w:r>
              <w:rPr>
                <w:rFonts w:eastAsia="方正仿宋_GBK"/>
                <w:bCs/>
                <w:color w:val="000000"/>
                <w:sz w:val="24"/>
              </w:rPr>
              <w:t>。精品酒店、绿色饭店、星级酒店、特色民宿、特色餐饮店，品牌连锁便利店、无人商店、智能商超等新零售。</w:t>
            </w:r>
          </w:p>
          <w:p>
            <w:pPr>
              <w:spacing w:line="440" w:lineRule="exact"/>
              <w:ind w:firstLine="481" w:firstLineChars="200"/>
              <w:jc w:val="left"/>
              <w:rPr>
                <w:rFonts w:eastAsia="方正仿宋_GBK"/>
                <w:b/>
                <w:color w:val="000000"/>
                <w:sz w:val="24"/>
              </w:rPr>
            </w:pPr>
            <w:r>
              <w:rPr>
                <w:rFonts w:eastAsia="方正仿宋_GBK"/>
                <w:b/>
                <w:color w:val="000000"/>
                <w:sz w:val="24"/>
              </w:rPr>
              <w:t>舟白街道</w:t>
            </w:r>
            <w:r>
              <w:rPr>
                <w:rFonts w:eastAsia="方正仿宋_GBK"/>
                <w:bCs/>
                <w:color w:val="000000"/>
                <w:sz w:val="24"/>
              </w:rPr>
              <w:t>。社区教育、医疗、保洁、养老、看护、维修、美容美发等便民服务，智慧社区服务平台。</w:t>
            </w:r>
          </w:p>
          <w:p>
            <w:pPr>
              <w:spacing w:line="440" w:lineRule="exact"/>
              <w:ind w:firstLine="481" w:firstLineChars="200"/>
              <w:jc w:val="left"/>
              <w:rPr>
                <w:rFonts w:eastAsia="方正仿宋_GBK"/>
                <w:bCs/>
                <w:color w:val="000000"/>
                <w:sz w:val="24"/>
              </w:rPr>
            </w:pPr>
            <w:r>
              <w:rPr>
                <w:rFonts w:eastAsia="方正仿宋_GBK"/>
                <w:b/>
                <w:color w:val="000000"/>
                <w:sz w:val="24"/>
              </w:rPr>
              <w:t>冯家街道</w:t>
            </w:r>
            <w:r>
              <w:rPr>
                <w:rFonts w:eastAsia="方正仿宋_GBK"/>
                <w:bCs/>
                <w:color w:val="000000"/>
                <w:sz w:val="24"/>
              </w:rPr>
              <w:t>。物流服务站点，社区便民消费设施，便民生活服务圈，健身休闲、场馆服务等商业设施。</w:t>
            </w:r>
          </w:p>
        </w:tc>
      </w:tr>
    </w:tbl>
    <w:p>
      <w:pPr>
        <w:spacing w:line="580" w:lineRule="exact"/>
        <w:ind w:firstLine="642" w:firstLineChars="200"/>
        <w:rPr>
          <w:rFonts w:eastAsia="方正仿宋_GBK"/>
          <w:color w:val="000000"/>
        </w:rPr>
      </w:pPr>
      <w:r>
        <w:rPr>
          <w:rFonts w:eastAsia="方正仿宋_GBK"/>
          <w:b/>
          <w:color w:val="000000"/>
          <w:sz w:val="32"/>
          <w:szCs w:val="22"/>
        </w:rPr>
        <w:t>加快社区农贸市场建设</w:t>
      </w:r>
      <w:r>
        <w:rPr>
          <w:rFonts w:eastAsia="方正仿宋_GBK"/>
          <w:bCs/>
          <w:color w:val="000000"/>
          <w:sz w:val="32"/>
          <w:szCs w:val="22"/>
        </w:rPr>
        <w:t>。按照“农贸市场超市化、农贸市场进社区”要求，</w:t>
      </w:r>
      <w:r>
        <w:rPr>
          <w:rFonts w:hint="eastAsia" w:eastAsia="方正仿宋_GBK"/>
          <w:bCs/>
          <w:color w:val="000000"/>
          <w:sz w:val="32"/>
          <w:szCs w:val="22"/>
        </w:rPr>
        <w:t>大力实施</w:t>
      </w:r>
      <w:r>
        <w:rPr>
          <w:rFonts w:eastAsia="方正仿宋_GBK"/>
          <w:bCs/>
          <w:color w:val="000000"/>
          <w:sz w:val="32"/>
          <w:szCs w:val="22"/>
        </w:rPr>
        <w:t>“新建一批、改造一批”举措，逐步形成布局合理、环境优美、便民利民为民的农贸市场新格局。提档升级白家湾市场、南海城市场、下坝市场等老旧农贸市场，推进黔江吉之汇国际农贸物流城提档升级，加快正阳、舟白智慧农贸市场建设，完善社区便民生活功能配置。加快推进正阳智慧农贸市场综合体建设运营，打造渝东南领先的五星智慧农贸市场，</w:t>
      </w:r>
      <w:r>
        <w:rPr>
          <w:rFonts w:eastAsia="方正仿宋_GBK"/>
          <w:bCs/>
          <w:color w:val="000000"/>
          <w:sz w:val="32"/>
          <w:szCs w:val="22"/>
          <w:lang w:val="en"/>
        </w:rPr>
        <w:t>推进市级公益性农产品市场建设示范区创建工作。</w:t>
      </w:r>
    </w:p>
    <w:p>
      <w:pPr>
        <w:spacing w:line="580" w:lineRule="exact"/>
        <w:ind w:firstLine="642" w:firstLineChars="200"/>
        <w:rPr>
          <w:rFonts w:eastAsia="方正仿宋_GBK"/>
          <w:bCs/>
          <w:color w:val="000000"/>
          <w:sz w:val="32"/>
          <w:szCs w:val="22"/>
        </w:rPr>
      </w:pPr>
      <w:r>
        <w:rPr>
          <w:rFonts w:eastAsia="方正仿宋_GBK"/>
          <w:b/>
          <w:color w:val="000000"/>
          <w:sz w:val="32"/>
          <w:szCs w:val="22"/>
        </w:rPr>
        <w:t>加快品牌连锁便利店布局</w:t>
      </w:r>
      <w:r>
        <w:rPr>
          <w:rFonts w:eastAsia="方正仿宋_GBK"/>
          <w:bCs/>
          <w:color w:val="000000"/>
          <w:sz w:val="32"/>
          <w:szCs w:val="22"/>
        </w:rPr>
        <w:t>。围绕打造“15分钟便民生活服务圈”目标，完善便利店网点配置。推动便利店等配套商业设施与新建住宅同步规划、同步建设和交付使用。推动品牌连锁便利店在老旧小区、背街小巷等“盲点”区域门店建设，补齐社区便民消费短板。鼓励企事业单位开放临街房屋、办公用房、仓库等闲置资源，支持便利店入住经营。探索发展移动便利店、厢式智能便利店等非固定便民商业设施。</w:t>
      </w:r>
      <w:bookmarkStart w:id="93" w:name="_Toc3122"/>
      <w:bookmarkStart w:id="94" w:name="_Toc15832"/>
      <w:bookmarkStart w:id="95" w:name="_Toc32573"/>
      <w:bookmarkStart w:id="96" w:name="_Toc5019"/>
      <w:bookmarkStart w:id="97" w:name="_Toc21535"/>
      <w:bookmarkStart w:id="98" w:name="_Toc15568"/>
      <w:bookmarkStart w:id="99" w:name="_Toc32055"/>
    </w:p>
    <w:p>
      <w:pPr>
        <w:widowControl/>
        <w:spacing w:line="580" w:lineRule="exact"/>
        <w:ind w:firstLine="640" w:firstLineChars="200"/>
        <w:outlineLvl w:val="1"/>
        <w:rPr>
          <w:rFonts w:eastAsia="方正楷体_GBK"/>
          <w:color w:val="000000"/>
          <w:sz w:val="32"/>
          <w:szCs w:val="22"/>
        </w:rPr>
      </w:pPr>
      <w:bookmarkStart w:id="100" w:name="_Toc21777"/>
      <w:r>
        <w:rPr>
          <w:rFonts w:eastAsia="方正楷体_GBK"/>
          <w:color w:val="000000"/>
          <w:sz w:val="32"/>
          <w:szCs w:val="22"/>
        </w:rPr>
        <w:t>（七）培育壮大一批专业市场</w:t>
      </w:r>
      <w:bookmarkEnd w:id="100"/>
    </w:p>
    <w:bookmarkEnd w:id="93"/>
    <w:bookmarkEnd w:id="94"/>
    <w:bookmarkEnd w:id="95"/>
    <w:bookmarkEnd w:id="96"/>
    <w:p>
      <w:pPr>
        <w:spacing w:line="580" w:lineRule="exact"/>
        <w:ind w:firstLine="642" w:firstLineChars="200"/>
        <w:rPr>
          <w:rFonts w:eastAsia="方正仿宋_GBK"/>
          <w:bCs/>
          <w:color w:val="000000"/>
          <w:sz w:val="32"/>
          <w:szCs w:val="22"/>
        </w:rPr>
      </w:pPr>
      <w:r>
        <w:rPr>
          <w:rFonts w:eastAsia="方正仿宋_GBK"/>
          <w:b/>
          <w:color w:val="000000"/>
          <w:sz w:val="32"/>
          <w:szCs w:val="22"/>
        </w:rPr>
        <w:t>推动家居市场高质量发展</w:t>
      </w:r>
      <w:r>
        <w:rPr>
          <w:rFonts w:eastAsia="方正仿宋_GBK"/>
          <w:bCs/>
          <w:color w:val="000000"/>
          <w:sz w:val="32"/>
          <w:szCs w:val="22"/>
        </w:rPr>
        <w:t>。优化家居市场的竞争环境，维护家居市场的经营秩序，推进家居市场数字化转型升级，推动家居行业从粗放增长到精细运营，促进家居市场规范和健康发展。推进武陵山家居市场转型升级，加快居然之家、红星美凯龙、渝东南（鑫众磊）国际建材城等市场培育，积极引进设计师品牌店、终端体验店、优品集合馆等体验业态，构建“专业市场+新生活”生态系统，</w:t>
      </w:r>
      <w:r>
        <w:rPr>
          <w:rFonts w:eastAsia="方正仿宋_GBK"/>
          <w:color w:val="000000"/>
          <w:sz w:val="32"/>
          <w:szCs w:val="32"/>
        </w:rPr>
        <w:t>引导各</w:t>
      </w:r>
      <w:r>
        <w:rPr>
          <w:rFonts w:eastAsia="方正仿宋_GBK"/>
          <w:bCs/>
          <w:color w:val="000000"/>
          <w:sz w:val="32"/>
          <w:szCs w:val="22"/>
        </w:rPr>
        <w:t>家居市场特色化、差异化发展。</w:t>
      </w:r>
    </w:p>
    <w:p>
      <w:pPr>
        <w:spacing w:line="580" w:lineRule="exact"/>
        <w:ind w:firstLine="642" w:firstLineChars="200"/>
        <w:rPr>
          <w:rFonts w:eastAsia="方正仿宋_GBK"/>
          <w:bCs/>
          <w:color w:val="000000"/>
          <w:sz w:val="32"/>
          <w:szCs w:val="22"/>
        </w:rPr>
      </w:pPr>
      <w:r>
        <w:rPr>
          <w:rFonts w:eastAsia="方正仿宋_GBK"/>
          <w:b/>
          <w:color w:val="000000"/>
          <w:sz w:val="32"/>
          <w:szCs w:val="22"/>
        </w:rPr>
        <w:t>推动特色专业市场</w:t>
      </w:r>
      <w:r>
        <w:rPr>
          <w:rFonts w:hint="eastAsia" w:eastAsia="方正仿宋_GBK"/>
          <w:b/>
          <w:color w:val="000000"/>
          <w:sz w:val="32"/>
          <w:szCs w:val="22"/>
        </w:rPr>
        <w:t>做</w:t>
      </w:r>
      <w:r>
        <w:rPr>
          <w:rFonts w:eastAsia="方正仿宋_GBK"/>
          <w:b/>
          <w:color w:val="000000"/>
          <w:sz w:val="32"/>
          <w:szCs w:val="22"/>
        </w:rPr>
        <w:t>大做强</w:t>
      </w:r>
      <w:r>
        <w:rPr>
          <w:rFonts w:eastAsia="方正仿宋_GBK"/>
          <w:bCs/>
          <w:color w:val="000000"/>
          <w:sz w:val="32"/>
          <w:szCs w:val="22"/>
        </w:rPr>
        <w:t>。</w:t>
      </w:r>
      <w:r>
        <w:rPr>
          <w:rFonts w:eastAsia="方正仿宋_GBK"/>
          <w:color w:val="000000"/>
          <w:sz w:val="32"/>
          <w:szCs w:val="32"/>
        </w:rPr>
        <w:t>以完善黔江本地配套服务设施和增强对周边区域的辐射带动作用为导向，聚焦本地产业基础和居民生活需求，做大做强区域性特色专业市场，重点培育一批带动辐射功能强的农产品、消费品、工业品、生产资料等专业市场。</w:t>
      </w:r>
      <w:r>
        <w:rPr>
          <w:rFonts w:eastAsia="方正仿宋_GBK"/>
          <w:bCs/>
          <w:color w:val="000000"/>
          <w:sz w:val="32"/>
          <w:szCs w:val="22"/>
        </w:rPr>
        <w:t>提档升级武陵山商贸批发城、吉之汇国际农贸物流城，积极引导市场商户发展社群营销、短视频营销等新营销模式，构建“专业市场+新零售”生态系统，拓宽本地特色品牌、绿色农产品线上线下销售渠道。加快推进渝东南汽车交易市场改造升级。</w:t>
      </w:r>
    </w:p>
    <w:p>
      <w:pPr>
        <w:spacing w:line="580" w:lineRule="exact"/>
        <w:ind w:firstLine="642" w:firstLineChars="200"/>
        <w:rPr>
          <w:rFonts w:eastAsia="方正仿宋_GBK"/>
          <w:bCs/>
          <w:color w:val="000000"/>
          <w:kern w:val="0"/>
          <w:sz w:val="32"/>
          <w:szCs w:val="22"/>
        </w:rPr>
      </w:pPr>
      <w:r>
        <w:rPr>
          <w:rFonts w:eastAsia="方正仿宋_GBK"/>
          <w:b/>
          <w:color w:val="000000"/>
          <w:sz w:val="32"/>
          <w:szCs w:val="22"/>
        </w:rPr>
        <w:t>加快再生资源回收利用基地建设</w:t>
      </w:r>
      <w:r>
        <w:rPr>
          <w:rFonts w:eastAsia="方正仿宋_GBK"/>
          <w:bCs/>
          <w:color w:val="000000"/>
          <w:sz w:val="32"/>
          <w:szCs w:val="22"/>
        </w:rPr>
        <w:t>。</w:t>
      </w:r>
      <w:r>
        <w:rPr>
          <w:rFonts w:eastAsia="方正仿宋_GBK"/>
          <w:color w:val="000000"/>
          <w:spacing w:val="-6"/>
          <w:sz w:val="32"/>
          <w:szCs w:val="32"/>
        </w:rPr>
        <w:t>优化再生资源回收网络，</w:t>
      </w:r>
      <w:r>
        <w:rPr>
          <w:rFonts w:eastAsia="方正仿宋_GBK"/>
          <w:color w:val="000000"/>
          <w:sz w:val="32"/>
          <w:szCs w:val="32"/>
        </w:rPr>
        <w:t>加强生活类再生资源、废旧金属类再生资源等回收利用，</w:t>
      </w:r>
      <w:r>
        <w:rPr>
          <w:rFonts w:eastAsia="方正仿宋_GBK"/>
          <w:bCs/>
          <w:color w:val="000000"/>
          <w:kern w:val="0"/>
          <w:sz w:val="32"/>
          <w:szCs w:val="22"/>
        </w:rPr>
        <w:t>加强拆解、仓储等基础设施、环境保护设施和劳动保护设施建设，构建多元化回收、集中分拣和拆解、安全储存运输和无害化处置的再生资源现代回收利用网络体系，打造区域性再生资源回收利用基地。健全“回收—资源化加工—再利用”再生资源回收利用全产业链，加快完善资源回收产业监管体系建设，完善再生资源回收监管负面清单，推动再生资源回收产业生态、环保、可持续发展。搭建再生资源交易平台，推动再生资源回收智能化发展。</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8855" w:type="dxa"/>
            <w:noWrap w:val="0"/>
            <w:vAlign w:val="top"/>
          </w:tcPr>
          <w:p>
            <w:pPr>
              <w:spacing w:line="440" w:lineRule="exact"/>
              <w:jc w:val="center"/>
              <w:rPr>
                <w:rFonts w:eastAsia="方正黑体_GBK"/>
                <w:bCs/>
                <w:color w:val="000000"/>
                <w:sz w:val="24"/>
                <w:szCs w:val="28"/>
              </w:rPr>
            </w:pPr>
            <w:r>
              <w:rPr>
                <w:rFonts w:eastAsia="方正黑体_GBK"/>
                <w:bCs/>
                <w:color w:val="000000"/>
                <w:sz w:val="24"/>
                <w:szCs w:val="28"/>
              </w:rPr>
              <w:t>专栏5-6：八大专业市场建设重点</w:t>
            </w:r>
          </w:p>
          <w:p>
            <w:pPr>
              <w:spacing w:line="440" w:lineRule="exact"/>
              <w:ind w:firstLine="481" w:firstLineChars="200"/>
              <w:jc w:val="left"/>
              <w:rPr>
                <w:rFonts w:eastAsia="方正仿宋_GBK"/>
                <w:color w:val="000000"/>
                <w:sz w:val="24"/>
              </w:rPr>
            </w:pPr>
            <w:r>
              <w:rPr>
                <w:rFonts w:eastAsia="方正仿宋_GBK"/>
                <w:b/>
                <w:color w:val="000000"/>
                <w:sz w:val="24"/>
              </w:rPr>
              <w:t>武陵山家居市场</w:t>
            </w:r>
            <w:r>
              <w:rPr>
                <w:rFonts w:eastAsia="方正仿宋_GBK"/>
                <w:bCs/>
                <w:color w:val="000000"/>
                <w:sz w:val="24"/>
              </w:rPr>
              <w:t>。智慧化改造，</w:t>
            </w:r>
            <w:r>
              <w:rPr>
                <w:rFonts w:eastAsia="方正仿宋_GBK"/>
                <w:color w:val="000000"/>
                <w:sz w:val="24"/>
              </w:rPr>
              <w:t>打造综合型家居市场。</w:t>
            </w:r>
          </w:p>
          <w:p>
            <w:pPr>
              <w:spacing w:line="440" w:lineRule="exact"/>
              <w:ind w:firstLine="481" w:firstLineChars="200"/>
              <w:jc w:val="left"/>
              <w:rPr>
                <w:rFonts w:eastAsia="方正仿宋_GBK"/>
                <w:b/>
                <w:color w:val="000000"/>
                <w:sz w:val="24"/>
              </w:rPr>
            </w:pPr>
            <w:r>
              <w:rPr>
                <w:rFonts w:eastAsia="方正仿宋_GBK"/>
                <w:b/>
                <w:color w:val="000000"/>
                <w:sz w:val="24"/>
              </w:rPr>
              <w:t>黔江居然之家（黔江店）</w:t>
            </w:r>
            <w:r>
              <w:rPr>
                <w:rFonts w:eastAsia="方正仿宋_GBK"/>
                <w:bCs/>
                <w:color w:val="000000"/>
                <w:sz w:val="24"/>
              </w:rPr>
              <w:t>。</w:t>
            </w:r>
            <w:r>
              <w:rPr>
                <w:rFonts w:eastAsia="方正仿宋_GBK"/>
                <w:color w:val="000000"/>
                <w:sz w:val="24"/>
              </w:rPr>
              <w:t>整合国内外家居品牌，打造高端家居建材购物中心。</w:t>
            </w:r>
          </w:p>
          <w:p>
            <w:pPr>
              <w:spacing w:line="440" w:lineRule="exact"/>
              <w:ind w:firstLine="481" w:firstLineChars="200"/>
              <w:jc w:val="left"/>
              <w:rPr>
                <w:rFonts w:eastAsia="方正仿宋_GBK"/>
                <w:b/>
                <w:color w:val="000000"/>
                <w:sz w:val="24"/>
              </w:rPr>
            </w:pPr>
            <w:r>
              <w:rPr>
                <w:rFonts w:eastAsia="方正仿宋_GBK"/>
                <w:b/>
                <w:color w:val="000000"/>
                <w:sz w:val="24"/>
              </w:rPr>
              <w:t>红星美凯龙（黔江商场店）</w:t>
            </w:r>
            <w:r>
              <w:rPr>
                <w:rFonts w:eastAsia="方正仿宋_GBK"/>
                <w:bCs/>
                <w:color w:val="000000"/>
                <w:sz w:val="24"/>
              </w:rPr>
              <w:t>。</w:t>
            </w:r>
            <w:r>
              <w:rPr>
                <w:rFonts w:eastAsia="方正仿宋_GBK"/>
                <w:color w:val="000000"/>
                <w:sz w:val="24"/>
              </w:rPr>
              <w:t>打造渝东南首席五星级国际家居市场。</w:t>
            </w:r>
          </w:p>
          <w:p>
            <w:pPr>
              <w:spacing w:line="440" w:lineRule="exact"/>
              <w:ind w:firstLine="481" w:firstLineChars="200"/>
              <w:jc w:val="left"/>
              <w:rPr>
                <w:rFonts w:eastAsia="方正仿宋_GBK"/>
                <w:b/>
                <w:color w:val="000000"/>
                <w:sz w:val="24"/>
              </w:rPr>
            </w:pPr>
            <w:r>
              <w:rPr>
                <w:rFonts w:eastAsia="方正仿宋_GBK"/>
                <w:b/>
                <w:color w:val="000000"/>
                <w:sz w:val="24"/>
              </w:rPr>
              <w:t>渝东南（鑫众磊）国际建材城</w:t>
            </w:r>
            <w:r>
              <w:rPr>
                <w:rFonts w:eastAsia="方正仿宋_GBK"/>
                <w:bCs/>
                <w:color w:val="000000"/>
                <w:sz w:val="24"/>
              </w:rPr>
              <w:t>。打造</w:t>
            </w:r>
            <w:r>
              <w:rPr>
                <w:rFonts w:eastAsia="方正仿宋_GBK"/>
                <w:color w:val="000000"/>
                <w:sz w:val="24"/>
              </w:rPr>
              <w:t>渝东南国际家居建材总部基地。</w:t>
            </w:r>
          </w:p>
          <w:p>
            <w:pPr>
              <w:spacing w:line="440" w:lineRule="exact"/>
              <w:ind w:firstLine="481" w:firstLineChars="200"/>
              <w:jc w:val="left"/>
              <w:rPr>
                <w:rFonts w:eastAsia="方正仿宋_GBK"/>
                <w:b/>
                <w:color w:val="000000"/>
                <w:sz w:val="24"/>
              </w:rPr>
            </w:pPr>
            <w:r>
              <w:rPr>
                <w:rFonts w:eastAsia="方正仿宋_GBK"/>
                <w:b/>
                <w:color w:val="000000"/>
                <w:sz w:val="24"/>
              </w:rPr>
              <w:t>武陵山商贸批发城</w:t>
            </w:r>
            <w:r>
              <w:rPr>
                <w:rFonts w:eastAsia="方正仿宋_GBK"/>
                <w:bCs/>
                <w:color w:val="000000"/>
                <w:sz w:val="24"/>
              </w:rPr>
              <w:t>。打造</w:t>
            </w:r>
            <w:r>
              <w:rPr>
                <w:rFonts w:eastAsia="方正仿宋_GBK"/>
                <w:color w:val="000000"/>
                <w:sz w:val="24"/>
              </w:rPr>
              <w:t>吃住娱乐购于一体的大型城市综合体。</w:t>
            </w:r>
          </w:p>
          <w:p>
            <w:pPr>
              <w:spacing w:line="440" w:lineRule="exact"/>
              <w:ind w:firstLine="481" w:firstLineChars="200"/>
              <w:jc w:val="left"/>
              <w:rPr>
                <w:rFonts w:eastAsia="方正仿宋_GBK"/>
                <w:b/>
                <w:color w:val="000000"/>
                <w:sz w:val="24"/>
              </w:rPr>
            </w:pPr>
            <w:r>
              <w:rPr>
                <w:rFonts w:eastAsia="方正仿宋_GBK"/>
                <w:b/>
                <w:color w:val="000000"/>
                <w:sz w:val="24"/>
              </w:rPr>
              <w:t>吉之汇国际农贸物流城</w:t>
            </w:r>
            <w:r>
              <w:rPr>
                <w:rFonts w:eastAsia="方正仿宋_GBK"/>
                <w:bCs/>
                <w:color w:val="000000"/>
                <w:sz w:val="24"/>
              </w:rPr>
              <w:t>。</w:t>
            </w:r>
            <w:r>
              <w:rPr>
                <w:rFonts w:eastAsia="方正仿宋_GBK"/>
                <w:color w:val="000000"/>
                <w:kern w:val="0"/>
                <w:sz w:val="24"/>
                <w:lang w:bidi="ar"/>
              </w:rPr>
              <w:t>农产品市场交易区</w:t>
            </w:r>
            <w:r>
              <w:rPr>
                <w:rFonts w:hint="eastAsia" w:eastAsia="方正仿宋_GBK"/>
                <w:color w:val="000000"/>
                <w:kern w:val="0"/>
                <w:sz w:val="24"/>
                <w:lang w:bidi="ar"/>
              </w:rPr>
              <w:t>、</w:t>
            </w:r>
            <w:r>
              <w:rPr>
                <w:rFonts w:eastAsia="方正仿宋_GBK"/>
                <w:color w:val="000000"/>
                <w:kern w:val="0"/>
                <w:sz w:val="24"/>
                <w:lang w:bidi="ar"/>
              </w:rPr>
              <w:t>渝东南“智慧农产品批发市场”，武陵山区农产品集散中心</w:t>
            </w:r>
            <w:r>
              <w:rPr>
                <w:rFonts w:eastAsia="方正仿宋_GBK"/>
                <w:color w:val="000000"/>
                <w:sz w:val="24"/>
              </w:rPr>
              <w:t>。</w:t>
            </w:r>
          </w:p>
          <w:p>
            <w:pPr>
              <w:spacing w:line="440" w:lineRule="exact"/>
              <w:ind w:firstLine="481" w:firstLineChars="200"/>
              <w:jc w:val="left"/>
              <w:rPr>
                <w:rFonts w:eastAsia="方正仿宋_GBK"/>
                <w:color w:val="000000"/>
                <w:sz w:val="24"/>
              </w:rPr>
            </w:pPr>
            <w:r>
              <w:rPr>
                <w:rFonts w:eastAsia="方正仿宋_GBK"/>
                <w:b/>
                <w:color w:val="000000"/>
                <w:sz w:val="24"/>
              </w:rPr>
              <w:t>渝东南汽车交易市场</w:t>
            </w:r>
            <w:r>
              <w:rPr>
                <w:rFonts w:eastAsia="方正仿宋_GBK"/>
                <w:color w:val="000000"/>
                <w:sz w:val="24"/>
              </w:rPr>
              <w:t>。汽车4S店、汽车销售展厅、二手车交易区。</w:t>
            </w:r>
          </w:p>
          <w:p>
            <w:pPr>
              <w:spacing w:line="440" w:lineRule="exact"/>
              <w:ind w:firstLine="481" w:firstLineChars="200"/>
              <w:jc w:val="left"/>
              <w:rPr>
                <w:rFonts w:eastAsia="方正仿宋_GBK"/>
                <w:color w:val="000000"/>
                <w:sz w:val="24"/>
              </w:rPr>
            </w:pPr>
            <w:r>
              <w:rPr>
                <w:rFonts w:eastAsia="方正仿宋_GBK"/>
                <w:b/>
                <w:color w:val="000000"/>
                <w:sz w:val="24"/>
              </w:rPr>
              <w:t>渝东南再生资源回收利用基地</w:t>
            </w:r>
            <w:r>
              <w:rPr>
                <w:rFonts w:eastAsia="方正仿宋_GBK"/>
                <w:color w:val="000000"/>
                <w:sz w:val="24"/>
              </w:rPr>
              <w:t>。再生资源交易区、仓库、加工房、综合楼。</w:t>
            </w:r>
          </w:p>
        </w:tc>
      </w:tr>
    </w:tbl>
    <w:p>
      <w:pPr>
        <w:widowControl/>
        <w:spacing w:line="580" w:lineRule="exact"/>
        <w:ind w:firstLine="640" w:firstLineChars="200"/>
        <w:outlineLvl w:val="1"/>
        <w:rPr>
          <w:rFonts w:eastAsia="方正楷体_GBK"/>
          <w:color w:val="000000"/>
          <w:sz w:val="32"/>
          <w:szCs w:val="22"/>
        </w:rPr>
      </w:pPr>
      <w:bookmarkStart w:id="101" w:name="_Toc10793"/>
      <w:r>
        <w:rPr>
          <w:rFonts w:eastAsia="方正楷体_GBK"/>
          <w:color w:val="000000"/>
          <w:sz w:val="32"/>
          <w:szCs w:val="22"/>
        </w:rPr>
        <w:t>（八）</w:t>
      </w:r>
      <w:bookmarkEnd w:id="97"/>
      <w:bookmarkEnd w:id="98"/>
      <w:bookmarkEnd w:id="99"/>
      <w:r>
        <w:rPr>
          <w:rFonts w:eastAsia="方正楷体_GBK"/>
          <w:color w:val="000000"/>
          <w:sz w:val="32"/>
          <w:szCs w:val="22"/>
        </w:rPr>
        <w:t>加快完善乡镇商业体系</w:t>
      </w:r>
      <w:bookmarkEnd w:id="101"/>
    </w:p>
    <w:p>
      <w:pPr>
        <w:spacing w:line="580" w:lineRule="exact"/>
        <w:ind w:firstLine="642" w:firstLineChars="200"/>
        <w:rPr>
          <w:rFonts w:eastAsia="方正仿宋_GBK"/>
          <w:color w:val="000000"/>
          <w:sz w:val="32"/>
          <w:szCs w:val="32"/>
        </w:rPr>
      </w:pPr>
      <w:r>
        <w:rPr>
          <w:rFonts w:eastAsia="方正仿宋_GBK"/>
          <w:b/>
          <w:bCs/>
          <w:color w:val="000000"/>
          <w:sz w:val="32"/>
          <w:szCs w:val="32"/>
        </w:rPr>
        <w:t>加强集镇商业设施建设</w:t>
      </w:r>
      <w:r>
        <w:rPr>
          <w:rFonts w:eastAsia="方正仿宋_GBK"/>
          <w:color w:val="000000"/>
          <w:sz w:val="32"/>
          <w:szCs w:val="32"/>
        </w:rPr>
        <w:t>。完善乡镇商业网点布局，提档升级传统商业网点，丰富商业网点业态，统筹推进综合超市、便利店、餐饮店等公共服务设施建设，打造大众化、便民化品质生活圈，完善休闲、娱乐、购物、餐饮、住宿等功能，满足居民多样化、个性化需求。积极推动乡镇农贸市场标准化改造、公益性发展，满足乡镇群众日常生活需要。大力实施“县域商业建设行动”，以渠道下沉和农产品上行为主线，推进镇级农村电商公共服务中心和村级服务站点等网点建设，畅通工业品下乡和农产品进城双向流通渠道，完善农产品现代流通体系，推动县域商业高质量发展，实现农民增收与消费提质良性循环。鼓励商贸流通企业输出管理和服务，通过特许经营、供应链整合等方式，改造夫妻店等传统网点，发展新型乡村便利店。</w:t>
      </w:r>
    </w:p>
    <w:p>
      <w:pPr>
        <w:spacing w:line="580" w:lineRule="exact"/>
        <w:ind w:firstLine="642" w:firstLineChars="200"/>
        <w:rPr>
          <w:rFonts w:eastAsia="方正仿宋_GBK"/>
          <w:b/>
          <w:bCs/>
          <w:color w:val="000000"/>
          <w:sz w:val="32"/>
          <w:szCs w:val="32"/>
        </w:rPr>
      </w:pPr>
      <w:r>
        <w:rPr>
          <w:rFonts w:eastAsia="方正仿宋_GBK"/>
          <w:b/>
          <w:bCs/>
          <w:color w:val="000000"/>
          <w:sz w:val="32"/>
          <w:szCs w:val="32"/>
        </w:rPr>
        <w:t>打造乡镇商贸中心</w:t>
      </w:r>
      <w:r>
        <w:rPr>
          <w:rFonts w:eastAsia="方正仿宋_GBK"/>
          <w:color w:val="000000"/>
          <w:sz w:val="32"/>
          <w:szCs w:val="32"/>
        </w:rPr>
        <w:t>。积极推动濯水、阿蓬江、黄溪、石会、马喇和太极等重点乡镇改建或新建乡镇商贸中心，探索“中心广场+主题商业设施+其他业种网点”开发模式。推动商贸中心建设，完善综合超市等配套设施，推进集贸市场改造升级，丰富住宿餐饮、生活服务、物流配送、文化娱乐、保健休闲等商贸服务业态。完善线上线下市场联动功能，优化乡镇流通网络，推动乡镇商业网点建设，建立乡镇电子商务体验示范区，打造一批功能聚集、业态多样、线上线下市场联动的乡镇微型商圈。大力推动老年服务与餐饮、金融等融合发展，创新培育老年服务消费业态。</w:t>
      </w:r>
    </w:p>
    <w:p>
      <w:pPr>
        <w:spacing w:line="580" w:lineRule="exact"/>
        <w:ind w:firstLine="642" w:firstLineChars="200"/>
        <w:rPr>
          <w:rFonts w:eastAsia="方正仿宋_GBK"/>
          <w:color w:val="000000"/>
          <w:sz w:val="32"/>
          <w:szCs w:val="32"/>
        </w:rPr>
      </w:pPr>
      <w:r>
        <w:rPr>
          <w:rFonts w:eastAsia="方正仿宋_GBK"/>
          <w:b/>
          <w:bCs/>
          <w:color w:val="000000"/>
          <w:sz w:val="32"/>
          <w:szCs w:val="32"/>
        </w:rPr>
        <w:t>推动集镇商贸差异化发展</w:t>
      </w:r>
      <w:r>
        <w:rPr>
          <w:rFonts w:eastAsia="方正仿宋_GBK"/>
          <w:color w:val="000000"/>
          <w:sz w:val="32"/>
          <w:szCs w:val="32"/>
        </w:rPr>
        <w:t>。结合全区各集镇的地理位置、资源禀赋、产业基础等实际情况，优化乡镇级商业规划布局，提升商贸对现代农业、工业以及文化旅游等产业的服务功能，推动商、农、旅等融合发展。推动濯水、小南海、阿蓬江、沙坝、白土、水市等依托文化、生态资源优势，重点发展文化旅游产业，着力提升餐饮、住宿、购物等配套服务功能，打造商旅型城镇。推动邻鄂、黎水、黄溪等利用沿边优势和边贸基础，重点发展特色农业、边贸、旅游等产业，加快推动餐饮、住宿、购物等配套设施建设，打造边贸型城镇。支持鹅池、马喇、金溪、黑溪等重点发展商贸服务业，</w:t>
      </w:r>
      <w:r>
        <w:rPr>
          <w:rFonts w:eastAsia="方正仿宋_GBK"/>
          <w:color w:val="000000"/>
          <w:kern w:val="0"/>
          <w:sz w:val="32"/>
          <w:szCs w:val="32"/>
        </w:rPr>
        <w:t>完善综合超市等配套设施，推进集贸市场改造升级，丰富住宿餐饮、生活服务、物流配送、文化娱乐、保健休闲等商贸服务业态</w:t>
      </w:r>
      <w:r>
        <w:rPr>
          <w:rFonts w:eastAsia="方正仿宋_GBK"/>
          <w:color w:val="000000"/>
          <w:sz w:val="32"/>
          <w:szCs w:val="32"/>
        </w:rPr>
        <w:t>，打造商贸型城镇。依托中塘、白石、蓬东、杉岭、太极、水田、金洞、五里、新华等特色农副产品产地优势，加快农产品和食品仓储保鲜、冷链物流设施建设，大力发展农村电商，建设农贸型城镇。</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noWrap w:val="0"/>
            <w:vAlign w:val="top"/>
          </w:tcPr>
          <w:p>
            <w:pPr>
              <w:spacing w:line="440" w:lineRule="exact"/>
              <w:jc w:val="center"/>
              <w:rPr>
                <w:rFonts w:eastAsia="方正黑体_GBK"/>
                <w:bCs/>
                <w:color w:val="000000"/>
                <w:sz w:val="24"/>
                <w:szCs w:val="28"/>
              </w:rPr>
            </w:pPr>
            <w:r>
              <w:rPr>
                <w:rFonts w:eastAsia="方正黑体_GBK"/>
                <w:bCs/>
                <w:color w:val="000000"/>
                <w:sz w:val="24"/>
                <w:szCs w:val="28"/>
              </w:rPr>
              <w:t>专栏5-7：集镇商业设施建设重点方向</w:t>
            </w:r>
          </w:p>
          <w:p>
            <w:pPr>
              <w:spacing w:line="480" w:lineRule="exact"/>
              <w:ind w:firstLine="481" w:firstLineChars="200"/>
              <w:rPr>
                <w:rFonts w:eastAsia="方正仿宋_GBK"/>
                <w:color w:val="000000"/>
                <w:sz w:val="24"/>
              </w:rPr>
            </w:pPr>
            <w:r>
              <w:rPr>
                <w:rFonts w:eastAsia="方正仿宋_GBK"/>
                <w:b/>
                <w:bCs/>
                <w:color w:val="000000"/>
                <w:sz w:val="24"/>
              </w:rPr>
              <w:t>乡镇商贸中心</w:t>
            </w:r>
            <w:r>
              <w:rPr>
                <w:rFonts w:eastAsia="方正仿宋_GBK"/>
                <w:color w:val="000000"/>
                <w:sz w:val="24"/>
              </w:rPr>
              <w:t>。濯水镇、石会镇、阿蓬江镇、黄溪镇、马喇镇、太极乡。</w:t>
            </w:r>
          </w:p>
          <w:p>
            <w:pPr>
              <w:spacing w:line="480" w:lineRule="exact"/>
              <w:ind w:firstLine="481" w:firstLineChars="200"/>
              <w:rPr>
                <w:rFonts w:eastAsia="方正仿宋_GBK"/>
                <w:color w:val="000000"/>
                <w:sz w:val="24"/>
              </w:rPr>
            </w:pPr>
            <w:r>
              <w:rPr>
                <w:rFonts w:eastAsia="方正仿宋_GBK"/>
                <w:b/>
                <w:bCs/>
                <w:color w:val="000000"/>
                <w:sz w:val="24"/>
              </w:rPr>
              <w:t>商旅型城镇</w:t>
            </w:r>
            <w:r>
              <w:rPr>
                <w:rFonts w:eastAsia="方正仿宋_GBK"/>
                <w:color w:val="000000"/>
                <w:sz w:val="24"/>
              </w:rPr>
              <w:t>。濯水镇、小南海镇、阿蓬江镇、沙坝镇、白土乡、水市乡。</w:t>
            </w:r>
          </w:p>
          <w:p>
            <w:pPr>
              <w:spacing w:line="480" w:lineRule="exact"/>
              <w:ind w:firstLine="481" w:firstLineChars="200"/>
              <w:rPr>
                <w:rFonts w:eastAsia="方正仿宋_GBK"/>
                <w:color w:val="000000"/>
                <w:sz w:val="24"/>
              </w:rPr>
            </w:pPr>
            <w:r>
              <w:rPr>
                <w:rFonts w:eastAsia="方正仿宋_GBK"/>
                <w:b/>
                <w:bCs/>
                <w:color w:val="000000"/>
                <w:sz w:val="24"/>
              </w:rPr>
              <w:t>边贸型城镇</w:t>
            </w:r>
            <w:r>
              <w:rPr>
                <w:rFonts w:eastAsia="方正仿宋_GBK"/>
                <w:color w:val="000000"/>
                <w:sz w:val="24"/>
              </w:rPr>
              <w:t>。邻鄂镇、黎水镇、黄溪镇。</w:t>
            </w:r>
          </w:p>
          <w:p>
            <w:pPr>
              <w:spacing w:line="480" w:lineRule="exact"/>
              <w:ind w:firstLine="481" w:firstLineChars="200"/>
              <w:rPr>
                <w:rFonts w:eastAsia="方正仿宋_GBK"/>
                <w:b/>
                <w:bCs/>
                <w:color w:val="000000"/>
                <w:sz w:val="24"/>
              </w:rPr>
            </w:pPr>
            <w:r>
              <w:rPr>
                <w:rFonts w:eastAsia="方正仿宋_GBK"/>
                <w:b/>
                <w:bCs/>
                <w:color w:val="000000"/>
                <w:sz w:val="24"/>
              </w:rPr>
              <w:t>商贸型城镇</w:t>
            </w:r>
            <w:r>
              <w:rPr>
                <w:rFonts w:eastAsia="方正仿宋_GBK"/>
                <w:color w:val="000000"/>
                <w:sz w:val="24"/>
              </w:rPr>
              <w:t>。石会镇、石家镇、鹅池镇、马喇镇、金溪镇、黑溪镇。</w:t>
            </w:r>
          </w:p>
          <w:p>
            <w:pPr>
              <w:spacing w:line="480" w:lineRule="exact"/>
              <w:ind w:firstLine="481" w:firstLineChars="200"/>
              <w:rPr>
                <w:rFonts w:eastAsia="方正仿宋_GBK"/>
                <w:color w:val="000000"/>
                <w:kern w:val="0"/>
                <w:sz w:val="20"/>
                <w:szCs w:val="20"/>
              </w:rPr>
            </w:pPr>
            <w:r>
              <w:rPr>
                <w:rFonts w:eastAsia="方正仿宋_GBK"/>
                <w:b/>
                <w:bCs/>
                <w:color w:val="000000"/>
                <w:sz w:val="24"/>
              </w:rPr>
              <w:t>农贸型城镇</w:t>
            </w:r>
            <w:r>
              <w:rPr>
                <w:rFonts w:eastAsia="方正仿宋_GBK"/>
                <w:color w:val="000000"/>
                <w:sz w:val="24"/>
              </w:rPr>
              <w:t>。中塘镇、白石镇、蓬东乡、杉岭乡、太极乡、水田乡、金洞乡、五里乡、新华乡。</w:t>
            </w:r>
          </w:p>
        </w:tc>
      </w:tr>
    </w:tbl>
    <w:p>
      <w:pPr>
        <w:spacing w:line="580" w:lineRule="exact"/>
        <w:outlineLvl w:val="0"/>
        <w:rPr>
          <w:rFonts w:eastAsia="方正仿宋_GBK"/>
          <w:bCs/>
          <w:color w:val="000000"/>
          <w:sz w:val="32"/>
          <w:szCs w:val="22"/>
        </w:rPr>
        <w:sectPr>
          <w:pgSz w:w="11906" w:h="16838" w:orient="landscape"/>
          <w:pgMar w:top="2098" w:right="1531" w:bottom="1984" w:left="1531" w:header="1418" w:footer="1304" w:gutter="0"/>
          <w:cols w:space="720" w:num="1"/>
          <w:docGrid w:linePitch="312" w:charSpace="0"/>
        </w:sectPr>
      </w:pPr>
      <w:bookmarkStart w:id="102" w:name="_Toc11102"/>
      <w:bookmarkStart w:id="103" w:name="_Toc28448"/>
      <w:bookmarkStart w:id="104" w:name="_Toc20629"/>
      <w:bookmarkStart w:id="105" w:name="_Toc12581"/>
    </w:p>
    <w:p>
      <w:pPr>
        <w:spacing w:line="574" w:lineRule="exact"/>
        <w:outlineLvl w:val="0"/>
        <w:rPr>
          <w:rFonts w:eastAsia="方正黑体_GBK"/>
          <w:color w:val="000000"/>
          <w:sz w:val="32"/>
          <w:szCs w:val="22"/>
        </w:rPr>
      </w:pPr>
      <w:bookmarkStart w:id="106" w:name="_Toc3131"/>
      <w:r>
        <w:rPr>
          <w:rFonts w:eastAsia="方正黑体_GBK"/>
          <w:color w:val="000000"/>
          <w:sz w:val="32"/>
          <w:szCs w:val="22"/>
        </w:rPr>
        <w:t>六、大力推进对外开放，打造武陵山区对外开放高地</w:t>
      </w:r>
      <w:bookmarkEnd w:id="106"/>
    </w:p>
    <w:p>
      <w:pPr>
        <w:spacing w:line="574" w:lineRule="exact"/>
        <w:ind w:firstLine="640" w:firstLineChars="200"/>
        <w:rPr>
          <w:rFonts w:eastAsia="方正仿宋_GBK"/>
          <w:color w:val="000000"/>
        </w:rPr>
      </w:pPr>
      <w:r>
        <w:rPr>
          <w:rFonts w:eastAsia="方正仿宋_GBK"/>
          <w:bCs/>
          <w:color w:val="000000"/>
          <w:sz w:val="32"/>
          <w:szCs w:val="22"/>
        </w:rPr>
        <w:t>加快开放通道和开放平台建设，实施更大范围、更宽领域、更深层次对外开放，打造“枢纽+口岸+物流+产业”开放型经济发展模式，全面提升对外开放水平，更好在渝东南区域带头开放、带动开放。</w:t>
      </w:r>
    </w:p>
    <w:p>
      <w:pPr>
        <w:widowControl/>
        <w:spacing w:line="574" w:lineRule="exact"/>
        <w:ind w:firstLine="640" w:firstLineChars="200"/>
        <w:outlineLvl w:val="1"/>
        <w:rPr>
          <w:rFonts w:eastAsia="方正楷体_GBK"/>
          <w:color w:val="000000"/>
          <w:sz w:val="32"/>
          <w:szCs w:val="22"/>
        </w:rPr>
      </w:pPr>
      <w:bookmarkStart w:id="107" w:name="_Toc3369"/>
      <w:r>
        <w:rPr>
          <w:rFonts w:eastAsia="方正楷体_GBK"/>
          <w:color w:val="000000"/>
          <w:sz w:val="32"/>
          <w:szCs w:val="22"/>
        </w:rPr>
        <w:t>（一）推进开放通道建设</w:t>
      </w:r>
      <w:bookmarkEnd w:id="107"/>
    </w:p>
    <w:p>
      <w:pPr>
        <w:spacing w:line="574" w:lineRule="exact"/>
        <w:ind w:firstLine="640" w:firstLineChars="200"/>
        <w:rPr>
          <w:rFonts w:eastAsia="方正仿宋_GBK"/>
          <w:bCs/>
          <w:color w:val="000000"/>
          <w:sz w:val="32"/>
          <w:szCs w:val="22"/>
        </w:rPr>
      </w:pPr>
      <w:r>
        <w:rPr>
          <w:rFonts w:eastAsia="方正仿宋_GBK"/>
          <w:bCs/>
          <w:color w:val="000000"/>
          <w:sz w:val="32"/>
          <w:szCs w:val="22"/>
        </w:rPr>
        <w:t>积极拓展大通道、畅通主动脉、完善微循环，构建多向联通的开放大通道，全面提升互联互通水平。</w:t>
      </w:r>
      <w:r>
        <w:rPr>
          <w:rFonts w:eastAsia="方正仿宋_GBK"/>
          <w:color w:val="000000"/>
          <w:sz w:val="32"/>
          <w:szCs w:val="32"/>
        </w:rPr>
        <w:t>进一步促进黔江融入“一带一路”、长江经济带、成渝地区双城经济圈等国家战略，</w:t>
      </w:r>
      <w:r>
        <w:rPr>
          <w:rFonts w:eastAsia="方正仿宋_GBK"/>
          <w:bCs/>
          <w:color w:val="000000"/>
          <w:sz w:val="32"/>
          <w:szCs w:val="22"/>
        </w:rPr>
        <w:t>着力打造西部陆海南向新通道重要连接点。</w:t>
      </w:r>
      <w:r>
        <w:rPr>
          <w:rFonts w:eastAsia="方正仿宋_GBK"/>
          <w:b/>
          <w:color w:val="000000"/>
          <w:sz w:val="32"/>
          <w:szCs w:val="22"/>
        </w:rPr>
        <w:t>航空对外通道</w:t>
      </w:r>
      <w:r>
        <w:rPr>
          <w:rFonts w:eastAsia="方正仿宋_GBK"/>
          <w:bCs/>
          <w:color w:val="000000"/>
          <w:sz w:val="32"/>
          <w:szCs w:val="22"/>
        </w:rPr>
        <w:t>：以黔江武陵山机场升级改造为契机，积极拓展航线和航班，加快开辟通往长三角、京津冀、粤港澳大湾区货运客运航线，依托西部陆海新通道建设开辟东南亚地区的货运航线，</w:t>
      </w:r>
      <w:r>
        <w:rPr>
          <w:rFonts w:eastAsia="方正仿宋_GBK"/>
          <w:color w:val="000000"/>
          <w:sz w:val="32"/>
          <w:szCs w:val="32"/>
        </w:rPr>
        <w:t>增强机场链接国际国内枢纽和辐射带动周边区域门户等功能</w:t>
      </w:r>
      <w:r>
        <w:rPr>
          <w:rFonts w:eastAsia="方正仿宋_GBK"/>
          <w:bCs/>
          <w:color w:val="000000"/>
          <w:sz w:val="32"/>
          <w:szCs w:val="22"/>
        </w:rPr>
        <w:t>。</w:t>
      </w:r>
      <w:r>
        <w:rPr>
          <w:rFonts w:eastAsia="方正仿宋_GBK"/>
          <w:b/>
          <w:color w:val="000000"/>
          <w:sz w:val="32"/>
          <w:szCs w:val="22"/>
        </w:rPr>
        <w:t>铁路对外通道</w:t>
      </w:r>
      <w:r>
        <w:rPr>
          <w:rFonts w:eastAsia="方正仿宋_GBK"/>
          <w:bCs/>
          <w:color w:val="000000"/>
          <w:sz w:val="32"/>
          <w:szCs w:val="22"/>
        </w:rPr>
        <w:t>：</w:t>
      </w:r>
      <w:r>
        <w:rPr>
          <w:rFonts w:eastAsia="方正仿宋_GBK"/>
          <w:b/>
          <w:bCs/>
          <w:color w:val="000000"/>
          <w:sz w:val="32"/>
          <w:szCs w:val="32"/>
        </w:rPr>
        <w:t>东向</w:t>
      </w:r>
      <w:r>
        <w:rPr>
          <w:rFonts w:eastAsia="方正仿宋_GBK"/>
          <w:bCs/>
          <w:color w:val="000000"/>
          <w:sz w:val="32"/>
          <w:szCs w:val="22"/>
        </w:rPr>
        <w:t>依托黔张常铁路、黔恩铁路、黔江-吉首高铁联络线等项目建设，构建与中部地区、华东地区的横向通道，深度融入长江经济带发展，加快推动与华中、东南沿海地区经贸交流</w:t>
      </w:r>
      <w:r>
        <w:rPr>
          <w:rFonts w:eastAsia="方正仿宋_GBK"/>
          <w:color w:val="000000"/>
          <w:sz w:val="32"/>
          <w:szCs w:val="32"/>
        </w:rPr>
        <w:t>。</w:t>
      </w:r>
      <w:r>
        <w:rPr>
          <w:rFonts w:eastAsia="方正仿宋_GBK"/>
          <w:b/>
          <w:bCs/>
          <w:color w:val="000000"/>
          <w:sz w:val="32"/>
          <w:szCs w:val="32"/>
        </w:rPr>
        <w:t>北向</w:t>
      </w:r>
      <w:r>
        <w:rPr>
          <w:rFonts w:eastAsia="方正仿宋_GBK"/>
          <w:color w:val="000000"/>
          <w:sz w:val="32"/>
          <w:szCs w:val="32"/>
        </w:rPr>
        <w:t>推动万（州）黔（江）高铁</w:t>
      </w:r>
      <w:r>
        <w:rPr>
          <w:rFonts w:eastAsia="方正仿宋_GBK"/>
          <w:bCs/>
          <w:color w:val="000000"/>
          <w:sz w:val="32"/>
          <w:szCs w:val="22"/>
        </w:rPr>
        <w:t>建设，加强与渝西高铁的串联作用，推动黔江与渝东北、西安等区域合作</w:t>
      </w:r>
      <w:r>
        <w:rPr>
          <w:rFonts w:eastAsia="方正仿宋_GBK"/>
          <w:color w:val="000000"/>
          <w:sz w:val="32"/>
          <w:szCs w:val="32"/>
        </w:rPr>
        <w:t>。</w:t>
      </w:r>
      <w:r>
        <w:rPr>
          <w:rFonts w:eastAsia="方正仿宋_GBK"/>
          <w:b/>
          <w:bCs/>
          <w:color w:val="000000"/>
          <w:sz w:val="32"/>
          <w:szCs w:val="32"/>
        </w:rPr>
        <w:t>南向</w:t>
      </w:r>
      <w:r>
        <w:rPr>
          <w:rFonts w:eastAsia="方正仿宋_GBK"/>
          <w:color w:val="000000"/>
          <w:sz w:val="32"/>
          <w:szCs w:val="32"/>
        </w:rPr>
        <w:t>依托渝怀铁路、黔张常铁路、渝怀铁路二线、黔恩遵昭铁路，加快推动与贵州、广西衔接，积极推进与东南亚国家交流，推动西部陆海新通道建设，</w:t>
      </w:r>
      <w:r>
        <w:rPr>
          <w:rFonts w:eastAsia="方正仿宋_GBK"/>
          <w:bCs/>
          <w:color w:val="000000"/>
          <w:sz w:val="32"/>
          <w:szCs w:val="22"/>
        </w:rPr>
        <w:t>增强渝黔合作的经济带动能力和西部陆海新通道南向功能。</w:t>
      </w:r>
      <w:r>
        <w:rPr>
          <w:rFonts w:eastAsia="方正仿宋_GBK"/>
          <w:b/>
          <w:color w:val="000000"/>
          <w:sz w:val="32"/>
          <w:szCs w:val="22"/>
        </w:rPr>
        <w:t>西向</w:t>
      </w:r>
      <w:r>
        <w:rPr>
          <w:rFonts w:eastAsia="方正仿宋_GBK"/>
          <w:bCs/>
          <w:color w:val="000000"/>
          <w:sz w:val="32"/>
          <w:szCs w:val="22"/>
        </w:rPr>
        <w:t>依托渝怀铁路及渝怀铁路二线，推动广垫忠黔铁路、渝湘高铁重庆至黔江段建设，构建黔江通往成渝地区双城经济圈的大通道，加快黔江货运站场与重庆团结村铁路口岸无缝衔接，积极打造中欧班列渝东南延长线，打通黔江通往西部、中亚及欧洲的联系通道。</w:t>
      </w:r>
      <w:r>
        <w:rPr>
          <w:rFonts w:eastAsia="方正仿宋_GBK"/>
          <w:b/>
          <w:color w:val="000000"/>
          <w:sz w:val="32"/>
          <w:szCs w:val="22"/>
        </w:rPr>
        <w:t>高速公路对外通道</w:t>
      </w:r>
      <w:r>
        <w:rPr>
          <w:rFonts w:eastAsia="方正仿宋_GBK"/>
          <w:bCs/>
          <w:color w:val="000000"/>
          <w:sz w:val="32"/>
          <w:szCs w:val="22"/>
        </w:rPr>
        <w:t>：推动黔江至石柱高速公路建成投用，加快建设</w:t>
      </w:r>
      <w:r>
        <w:rPr>
          <w:rFonts w:eastAsia="方正仿宋_GBK"/>
          <w:color w:val="000000"/>
          <w:sz w:val="32"/>
          <w:szCs w:val="32"/>
        </w:rPr>
        <w:t>黔江东南环线高速公路</w:t>
      </w:r>
      <w:r>
        <w:rPr>
          <w:rFonts w:hint="eastAsia" w:eastAsia="方正仿宋_GBK"/>
          <w:color w:val="000000"/>
          <w:sz w:val="32"/>
          <w:szCs w:val="32"/>
        </w:rPr>
        <w:t>（过境高速公路）</w:t>
      </w:r>
      <w:r>
        <w:rPr>
          <w:rFonts w:eastAsia="方正仿宋_GBK"/>
          <w:bCs/>
          <w:color w:val="000000"/>
          <w:sz w:val="32"/>
          <w:szCs w:val="22"/>
        </w:rPr>
        <w:t>，力争开工建设</w:t>
      </w:r>
      <w:r>
        <w:rPr>
          <w:rFonts w:eastAsia="方正仿宋_GBK"/>
          <w:color w:val="000000"/>
          <w:sz w:val="32"/>
          <w:szCs w:val="32"/>
        </w:rPr>
        <w:t>云阳江口</w:t>
      </w:r>
      <w:r>
        <w:rPr>
          <w:rFonts w:hint="eastAsia" w:eastAsia="方正仿宋_GBK"/>
          <w:color w:val="000000"/>
          <w:sz w:val="32"/>
          <w:szCs w:val="32"/>
        </w:rPr>
        <w:t>-</w:t>
      </w:r>
      <w:r>
        <w:rPr>
          <w:rFonts w:eastAsia="方正仿宋_GBK"/>
          <w:color w:val="000000"/>
          <w:sz w:val="32"/>
          <w:szCs w:val="32"/>
        </w:rPr>
        <w:t>龙</w:t>
      </w:r>
      <w:r>
        <w:rPr>
          <w:rFonts w:eastAsia="仿宋"/>
          <w:color w:val="000000"/>
          <w:sz w:val="32"/>
          <w:szCs w:val="32"/>
        </w:rPr>
        <w:t>缸</w:t>
      </w:r>
      <w:r>
        <w:rPr>
          <w:rFonts w:hint="eastAsia" w:eastAsia="方正仿宋_GBK"/>
          <w:color w:val="000000"/>
          <w:sz w:val="32"/>
          <w:szCs w:val="32"/>
        </w:rPr>
        <w:t>-</w:t>
      </w:r>
      <w:r>
        <w:rPr>
          <w:rFonts w:eastAsia="方正仿宋_GBK"/>
          <w:color w:val="000000"/>
          <w:sz w:val="32"/>
          <w:szCs w:val="32"/>
        </w:rPr>
        <w:t>利川</w:t>
      </w:r>
      <w:r>
        <w:rPr>
          <w:rFonts w:hint="eastAsia" w:eastAsia="方正仿宋_GBK"/>
          <w:color w:val="000000"/>
          <w:sz w:val="32"/>
          <w:szCs w:val="32"/>
        </w:rPr>
        <w:t>-</w:t>
      </w:r>
      <w:r>
        <w:rPr>
          <w:rFonts w:eastAsia="方正仿宋_GBK"/>
          <w:color w:val="000000"/>
          <w:sz w:val="32"/>
          <w:szCs w:val="32"/>
        </w:rPr>
        <w:t>黔江、黔江</w:t>
      </w:r>
      <w:r>
        <w:rPr>
          <w:rFonts w:hint="eastAsia" w:eastAsia="方正仿宋_GBK"/>
          <w:color w:val="000000"/>
          <w:sz w:val="32"/>
          <w:szCs w:val="32"/>
        </w:rPr>
        <w:t>-</w:t>
      </w:r>
      <w:r>
        <w:rPr>
          <w:rFonts w:eastAsia="方正仿宋_GBK"/>
          <w:color w:val="000000"/>
          <w:sz w:val="32"/>
          <w:szCs w:val="32"/>
        </w:rPr>
        <w:t>务川</w:t>
      </w:r>
      <w:r>
        <w:rPr>
          <w:rFonts w:hint="eastAsia" w:eastAsia="方正仿宋_GBK"/>
          <w:color w:val="000000"/>
          <w:sz w:val="32"/>
          <w:szCs w:val="32"/>
        </w:rPr>
        <w:t>、黔江-永顺</w:t>
      </w:r>
      <w:r>
        <w:rPr>
          <w:rFonts w:eastAsia="方正仿宋_GBK"/>
          <w:bCs/>
          <w:color w:val="000000"/>
          <w:sz w:val="32"/>
          <w:szCs w:val="22"/>
        </w:rPr>
        <w:t>高速公路，</w:t>
      </w:r>
      <w:r>
        <w:rPr>
          <w:rFonts w:eastAsia="方正仿宋_GBK"/>
          <w:color w:val="000000"/>
          <w:sz w:val="32"/>
          <w:szCs w:val="32"/>
        </w:rPr>
        <w:t>打通黔江区内网环线，打造黔江对内对外的交通公路网，加快与周边区域的有机衔接，融入全国经济网络。</w:t>
      </w:r>
    </w:p>
    <w:p>
      <w:pPr>
        <w:widowControl/>
        <w:spacing w:line="574" w:lineRule="exact"/>
        <w:ind w:firstLine="640" w:firstLineChars="200"/>
        <w:outlineLvl w:val="1"/>
        <w:rPr>
          <w:rFonts w:eastAsia="方正楷体_GBK"/>
          <w:color w:val="000000"/>
          <w:sz w:val="32"/>
          <w:szCs w:val="22"/>
        </w:rPr>
      </w:pPr>
      <w:bookmarkStart w:id="108" w:name="_Toc29537"/>
      <w:r>
        <w:rPr>
          <w:rFonts w:eastAsia="方正楷体_GBK"/>
          <w:color w:val="000000"/>
          <w:sz w:val="32"/>
          <w:szCs w:val="22"/>
        </w:rPr>
        <w:t>（二）积极构建开放平台</w:t>
      </w:r>
      <w:bookmarkEnd w:id="108"/>
    </w:p>
    <w:p>
      <w:pPr>
        <w:keepNext w:val="0"/>
        <w:keepLines w:val="0"/>
        <w:widowControl/>
        <w:suppressLineNumbers w:val="0"/>
        <w:ind w:firstLine="642" w:firstLineChars="200"/>
        <w:jc w:val="left"/>
        <w:rPr>
          <w:rFonts w:eastAsia="方正仿宋_GBK"/>
          <w:bCs/>
          <w:color w:val="000000"/>
          <w:sz w:val="32"/>
          <w:szCs w:val="22"/>
        </w:rPr>
      </w:pPr>
      <w:r>
        <w:rPr>
          <w:rFonts w:eastAsia="方正仿宋_GBK"/>
          <w:b/>
          <w:color w:val="000000"/>
          <w:sz w:val="32"/>
          <w:szCs w:val="22"/>
        </w:rPr>
        <w:t>积极推动开放口岸建设</w:t>
      </w:r>
      <w:r>
        <w:rPr>
          <w:rFonts w:eastAsia="方正仿宋_GBK"/>
          <w:bCs/>
          <w:color w:val="000000"/>
          <w:sz w:val="32"/>
          <w:szCs w:val="22"/>
        </w:rPr>
        <w:t>。依托黔江武陵山机场，加快航空口岸建设，积极推动黔江航空口岸开放纳入《国家口岸发展</w:t>
      </w:r>
      <w:r>
        <w:rPr>
          <w:rFonts w:hint="eastAsia" w:eastAsia="方正仿宋_GBK"/>
          <w:bCs/>
          <w:color w:val="000000"/>
          <w:sz w:val="32"/>
          <w:szCs w:val="22"/>
          <w:lang w:eastAsia="zh-CN"/>
        </w:rPr>
        <w:t>“</w:t>
      </w:r>
      <w:r>
        <w:rPr>
          <w:rFonts w:eastAsia="方正仿宋_GBK"/>
          <w:bCs/>
          <w:color w:val="000000"/>
          <w:sz w:val="32"/>
          <w:szCs w:val="22"/>
          <w:lang w:val="en-US" w:eastAsia="zh-CN"/>
        </w:rPr>
        <w:t>十四五”规划</w:t>
      </w:r>
      <w:r>
        <w:rPr>
          <w:rFonts w:eastAsia="方正仿宋_GBK"/>
          <w:bCs/>
          <w:color w:val="000000"/>
          <w:sz w:val="32"/>
          <w:szCs w:val="22"/>
        </w:rPr>
        <w:t>》。大力推进航空物流园区建设，推动现代仓储区、保税物流加工区、高端商务区建设，积极发展保税物流、保税加工、仓储物流、快件快递、航空维修及高端商务等临空产业，探索建设武陵山临空经济区。积极谋划铁路口岸建设，</w:t>
      </w:r>
      <w:r>
        <w:rPr>
          <w:rFonts w:eastAsia="方正仿宋_GBK"/>
          <w:color w:val="000000"/>
          <w:sz w:val="32"/>
          <w:szCs w:val="32"/>
        </w:rPr>
        <w:t>加快推进铁路货场建设</w:t>
      </w:r>
      <w:r>
        <w:rPr>
          <w:rFonts w:eastAsia="方正仿宋_GBK"/>
          <w:bCs/>
          <w:color w:val="000000"/>
          <w:sz w:val="32"/>
          <w:szCs w:val="22"/>
        </w:rPr>
        <w:t>，完善甩挂运输、集装箱装卸、货物仓储配送、冷链、加工、拼装以及海关查验等功能，运用互联网、物联网、大数据等技术，探索建立智能型港口平台。</w:t>
      </w:r>
    </w:p>
    <w:p>
      <w:pPr>
        <w:spacing w:line="574" w:lineRule="exact"/>
        <w:ind w:firstLine="642" w:firstLineChars="200"/>
        <w:rPr>
          <w:rFonts w:eastAsia="方正仿宋_GBK"/>
          <w:b/>
          <w:color w:val="000000"/>
          <w:sz w:val="32"/>
          <w:szCs w:val="22"/>
        </w:rPr>
      </w:pPr>
      <w:r>
        <w:rPr>
          <w:rFonts w:eastAsia="方正仿宋_GBK"/>
          <w:b/>
          <w:color w:val="000000"/>
          <w:sz w:val="32"/>
          <w:szCs w:val="22"/>
        </w:rPr>
        <w:t>推动海关特殊监管区建设</w:t>
      </w:r>
      <w:r>
        <w:rPr>
          <w:rFonts w:eastAsia="方正仿宋_GBK"/>
          <w:bCs/>
          <w:color w:val="000000"/>
          <w:sz w:val="32"/>
          <w:szCs w:val="22"/>
        </w:rPr>
        <w:t>。加强黔江海关功能作用，协调对接重庆海关、重庆出入境边防检查总站、重庆市人民政府口岸和物流办公室等单位，根据产业发展需求，争取设立公用型保税仓库。</w:t>
      </w:r>
      <w:r>
        <w:rPr>
          <w:rFonts w:eastAsia="方正仿宋_GBK"/>
          <w:color w:val="000000"/>
          <w:sz w:val="32"/>
          <w:szCs w:val="32"/>
        </w:rPr>
        <w:t>深化制度、管理、投资创新，构建更高层次对外开放。</w:t>
      </w:r>
    </w:p>
    <w:p>
      <w:pPr>
        <w:spacing w:line="574" w:lineRule="exact"/>
        <w:ind w:firstLine="642" w:firstLineChars="200"/>
        <w:rPr>
          <w:rFonts w:eastAsia="方正仿宋_GBK"/>
          <w:bCs/>
          <w:color w:val="000000"/>
          <w:sz w:val="32"/>
          <w:szCs w:val="22"/>
        </w:rPr>
      </w:pPr>
      <w:r>
        <w:rPr>
          <w:rFonts w:eastAsia="方正仿宋_GBK"/>
          <w:b/>
          <w:color w:val="000000"/>
          <w:sz w:val="32"/>
          <w:szCs w:val="22"/>
        </w:rPr>
        <w:t>全力打造开放贸易平台</w:t>
      </w:r>
      <w:r>
        <w:rPr>
          <w:rFonts w:eastAsia="方正仿宋_GBK"/>
          <w:bCs/>
          <w:color w:val="000000"/>
          <w:sz w:val="32"/>
          <w:szCs w:val="22"/>
        </w:rPr>
        <w:t>。发挥黔江在特色产品和人文资源等方面的独特优势，积极开展“一带一路”经贸合作，吸引外资外企来黔江设立武陵山片区总部。以正阳工业园区为依托，积极承接东部沿海加工贸易产业转移，加快出口贸易加工区建设。推动黔江农产品出口基地和出口农产品质量安全示范基地建设，扩大中药材、猕猴桃、蚕桑、高山生态蔬菜等特色农产品出口。积极对接重庆自贸试验区、两江新区、高新区、西永综合保税区等市级重点开放平台，推动在金融服务、航空、交通物流、信息通信技术等领域合作。</w:t>
      </w:r>
    </w:p>
    <w:p>
      <w:pPr>
        <w:spacing w:line="574" w:lineRule="exact"/>
        <w:ind w:firstLine="642" w:firstLineChars="200"/>
        <w:rPr>
          <w:rFonts w:eastAsia="方正仿宋_GBK"/>
          <w:color w:val="000000"/>
          <w:sz w:val="32"/>
          <w:szCs w:val="32"/>
        </w:rPr>
      </w:pPr>
      <w:r>
        <w:rPr>
          <w:rFonts w:eastAsia="方正仿宋_GBK"/>
          <w:b/>
          <w:color w:val="000000"/>
          <w:sz w:val="32"/>
          <w:szCs w:val="22"/>
        </w:rPr>
        <w:t>打造中新项目合作示范</w:t>
      </w:r>
      <w:r>
        <w:rPr>
          <w:rFonts w:eastAsia="方正仿宋_GBK"/>
          <w:bCs/>
          <w:color w:val="000000"/>
          <w:sz w:val="32"/>
          <w:szCs w:val="22"/>
        </w:rPr>
        <w:t>。加大与市中新项目管理局对接，争取更多中新战略互联互通项目落地黔江。</w:t>
      </w:r>
      <w:r>
        <w:rPr>
          <w:rFonts w:eastAsia="方正仿宋_GBK"/>
          <w:color w:val="000000"/>
          <w:sz w:val="32"/>
          <w:szCs w:val="32"/>
        </w:rPr>
        <w:t>深化对接西部陆海新通道和中新（重庆）战略性互联互通示范项目，</w:t>
      </w:r>
      <w:r>
        <w:rPr>
          <w:rFonts w:eastAsia="方正仿宋_GBK"/>
          <w:bCs/>
          <w:color w:val="000000"/>
          <w:sz w:val="32"/>
          <w:szCs w:val="22"/>
        </w:rPr>
        <w:t>加快推进中新·绿雅（重庆）现代化农业产业项目开工建设，</w:t>
      </w:r>
      <w:r>
        <w:rPr>
          <w:rFonts w:eastAsia="方正仿宋_GBK"/>
          <w:color w:val="000000"/>
          <w:sz w:val="32"/>
          <w:szCs w:val="32"/>
        </w:rPr>
        <w:t>进一步加强黔江与新加坡及东南亚国家在“种植、加工、贸易”等现代农业全产业链的合作，推进中新互联互通项目助力黔江产业帮扶和乡村振兴，推动在现代物流、康养旅游、会展会务、对外贸易等多领域的合作，不断拓宽合作领域、探索合作模式，不断提升合作的深度和广度。</w:t>
      </w:r>
    </w:p>
    <w:p>
      <w:pPr>
        <w:pStyle w:val="2"/>
        <w:rPr>
          <w:rFonts w:hint="eastAsia"/>
          <w:color w:val="000000"/>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4" w:hRule="atLeast"/>
          <w:jc w:val="center"/>
        </w:trPr>
        <w:tc>
          <w:tcPr>
            <w:tcW w:w="8855" w:type="dxa"/>
            <w:noWrap w:val="0"/>
            <w:vAlign w:val="top"/>
          </w:tcPr>
          <w:p>
            <w:pPr>
              <w:spacing w:line="440" w:lineRule="exact"/>
              <w:jc w:val="center"/>
              <w:rPr>
                <w:rFonts w:eastAsia="方正黑体_GBK"/>
                <w:bCs/>
                <w:color w:val="000000"/>
                <w:sz w:val="24"/>
                <w:szCs w:val="28"/>
              </w:rPr>
            </w:pPr>
            <w:r>
              <w:rPr>
                <w:rFonts w:eastAsia="方正黑体_GBK"/>
                <w:bCs/>
                <w:color w:val="000000"/>
                <w:sz w:val="24"/>
                <w:szCs w:val="28"/>
              </w:rPr>
              <w:t>专栏6-1 开放平台建设工程</w:t>
            </w:r>
          </w:p>
          <w:p>
            <w:pPr>
              <w:spacing w:line="400" w:lineRule="exact"/>
              <w:ind w:firstLine="481" w:firstLineChars="200"/>
              <w:jc w:val="left"/>
              <w:rPr>
                <w:rFonts w:eastAsia="方正仿宋_GBK"/>
                <w:b/>
                <w:bCs/>
                <w:color w:val="000000"/>
                <w:sz w:val="24"/>
              </w:rPr>
            </w:pPr>
            <w:r>
              <w:rPr>
                <w:rFonts w:eastAsia="方正仿宋_GBK"/>
                <w:b/>
                <w:bCs/>
                <w:color w:val="000000"/>
                <w:sz w:val="24"/>
              </w:rPr>
              <w:t>开放口岸</w:t>
            </w:r>
            <w:r>
              <w:rPr>
                <w:rFonts w:eastAsia="方正仿宋_GBK"/>
                <w:color w:val="000000"/>
                <w:sz w:val="24"/>
              </w:rPr>
              <w:t>。航空口岸。</w:t>
            </w:r>
          </w:p>
          <w:p>
            <w:pPr>
              <w:spacing w:line="400" w:lineRule="exact"/>
              <w:ind w:firstLine="481" w:firstLineChars="200"/>
              <w:jc w:val="left"/>
              <w:rPr>
                <w:rFonts w:eastAsia="方正仿宋_GBK"/>
                <w:b/>
                <w:bCs/>
                <w:color w:val="000000"/>
                <w:sz w:val="24"/>
              </w:rPr>
            </w:pPr>
            <w:r>
              <w:rPr>
                <w:rFonts w:eastAsia="方正仿宋_GBK"/>
                <w:b/>
                <w:bCs/>
                <w:color w:val="000000"/>
                <w:sz w:val="24"/>
              </w:rPr>
              <w:t>海关特殊监管区</w:t>
            </w:r>
            <w:r>
              <w:rPr>
                <w:rFonts w:eastAsia="方正仿宋_GBK"/>
                <w:color w:val="000000"/>
                <w:sz w:val="24"/>
              </w:rPr>
              <w:t>。公用型保税仓</w:t>
            </w:r>
            <w:r>
              <w:rPr>
                <w:rFonts w:hint="eastAsia" w:eastAsia="方正仿宋_GBK"/>
                <w:color w:val="000000"/>
                <w:sz w:val="24"/>
              </w:rPr>
              <w:t>、</w:t>
            </w:r>
            <w:r>
              <w:rPr>
                <w:rFonts w:eastAsia="方正仿宋_GBK"/>
                <w:color w:val="000000"/>
                <w:sz w:val="24"/>
              </w:rPr>
              <w:t>海关监管作业场所、保税物流中心（B型）。</w:t>
            </w:r>
          </w:p>
          <w:p>
            <w:pPr>
              <w:spacing w:line="400" w:lineRule="exact"/>
              <w:ind w:firstLine="481" w:firstLineChars="200"/>
              <w:jc w:val="left"/>
              <w:rPr>
                <w:color w:val="000000"/>
              </w:rPr>
            </w:pPr>
            <w:r>
              <w:rPr>
                <w:rFonts w:eastAsia="方正仿宋_GBK"/>
                <w:b/>
                <w:bCs/>
                <w:color w:val="000000"/>
                <w:sz w:val="24"/>
              </w:rPr>
              <w:t>平台基地</w:t>
            </w:r>
            <w:r>
              <w:rPr>
                <w:rFonts w:eastAsia="方正仿宋_GBK"/>
                <w:color w:val="000000"/>
                <w:sz w:val="24"/>
              </w:rPr>
              <w:t>。黔江农产品出口基地</w:t>
            </w:r>
            <w:r>
              <w:rPr>
                <w:rFonts w:hint="eastAsia" w:eastAsia="方正仿宋_GBK"/>
                <w:color w:val="000000"/>
                <w:sz w:val="24"/>
              </w:rPr>
              <w:t>、</w:t>
            </w:r>
            <w:r>
              <w:rPr>
                <w:rFonts w:eastAsia="方正仿宋_GBK"/>
                <w:color w:val="000000"/>
                <w:sz w:val="24"/>
              </w:rPr>
              <w:t>航空物流园区，中新合作示范项目。</w:t>
            </w:r>
          </w:p>
        </w:tc>
      </w:tr>
    </w:tbl>
    <w:p>
      <w:pPr>
        <w:widowControl/>
        <w:spacing w:line="580" w:lineRule="exact"/>
        <w:ind w:firstLine="640" w:firstLineChars="200"/>
        <w:outlineLvl w:val="1"/>
        <w:rPr>
          <w:rFonts w:eastAsia="方正楷体_GBK"/>
          <w:color w:val="000000"/>
          <w:sz w:val="32"/>
          <w:szCs w:val="22"/>
        </w:rPr>
      </w:pPr>
      <w:bookmarkStart w:id="109" w:name="_Toc10851"/>
      <w:r>
        <w:rPr>
          <w:rFonts w:eastAsia="方正楷体_GBK"/>
          <w:color w:val="000000"/>
          <w:sz w:val="32"/>
          <w:szCs w:val="22"/>
        </w:rPr>
        <w:t>（三）大力发展开放型经济</w:t>
      </w:r>
      <w:bookmarkEnd w:id="109"/>
    </w:p>
    <w:p>
      <w:pPr>
        <w:spacing w:line="580" w:lineRule="exact"/>
        <w:ind w:firstLine="642" w:firstLineChars="200"/>
        <w:rPr>
          <w:rFonts w:eastAsia="方正仿宋_GBK"/>
          <w:bCs/>
          <w:color w:val="000000"/>
          <w:sz w:val="32"/>
          <w:szCs w:val="22"/>
        </w:rPr>
      </w:pPr>
      <w:r>
        <w:rPr>
          <w:rFonts w:eastAsia="方正仿宋_GBK"/>
          <w:b/>
          <w:color w:val="000000"/>
          <w:sz w:val="32"/>
          <w:szCs w:val="22"/>
        </w:rPr>
        <w:t>推动开放产业发展</w:t>
      </w:r>
      <w:r>
        <w:rPr>
          <w:rFonts w:eastAsia="方正仿宋_GBK"/>
          <w:bCs/>
          <w:color w:val="000000"/>
          <w:sz w:val="32"/>
          <w:szCs w:val="22"/>
        </w:rPr>
        <w:t>。加快对外贸易创新发展，做好外贸产业招优引强、育新扶小，培育进出口企业，大力推动黔江猕猴桃、脆红李、食用菌、高山生态蔬菜等山地高效农业产业及玻璃纤维、茧丝绸、地毯等制造加工业发展壮大。依托独特民族风情、多彩民俗文化等优势，推动渝东南民俗文化生态旅游业抱团开放，联动武陵山区打造精品旅游线路，持续办好中国山地马拉松赛等国际品牌赛事，着力建成国际知名民俗文化生态旅游目的地，打造生态文化产品和地理标志品牌。大力发展以研学旅行、户外运动、民族体育等为载体的工旅融合开放业态。</w:t>
      </w:r>
    </w:p>
    <w:p>
      <w:pPr>
        <w:spacing w:line="580" w:lineRule="exact"/>
        <w:ind w:firstLine="642" w:firstLineChars="200"/>
        <w:rPr>
          <w:rFonts w:eastAsia="方正仿宋_GBK"/>
          <w:color w:val="000000"/>
          <w:sz w:val="32"/>
          <w:szCs w:val="32"/>
        </w:rPr>
      </w:pPr>
      <w:r>
        <w:rPr>
          <w:rFonts w:eastAsia="方正仿宋_GBK"/>
          <w:b/>
          <w:bCs/>
          <w:color w:val="000000"/>
          <w:sz w:val="32"/>
          <w:szCs w:val="32"/>
        </w:rPr>
        <w:t>培育外贸竞争优势</w:t>
      </w:r>
      <w:r>
        <w:rPr>
          <w:rFonts w:eastAsia="方正仿宋_GBK"/>
          <w:color w:val="000000"/>
          <w:sz w:val="32"/>
          <w:szCs w:val="32"/>
        </w:rPr>
        <w:t>。持续提升传统优势产业的经济外向度和国际竞争力，推动合金材料、丝绸服装、医药产品、特色农产品出口，巩固提升青蒿素、茧丝绸、药用胶囊、玻璃纤维、碱香面等现有商品出口效益，引导中小企业向“专、精、特、新”方向发展，力争备案农产品出口企业数量达到40家以上，力争工业品出口企业达到10家以上，推动黔江企业的产业链和价值链不断拓展。着力引进一批外贸龙头企业及配套服务企业，加强先进技术设备、关键零部件、能源资源和重点消费品企业的招商引资力度，力争引进1-2家知名外资企业在黔设立地区总部、财务管理中心、结算中心等功能性机构。积极拓展开放市场空间，引导区内企业开拓“一带一路”等国际市场，支持区内企业参加智博会、进博会、西洽会等展会。加快打造跨境电商平台，</w:t>
      </w:r>
      <w:r>
        <w:rPr>
          <w:rFonts w:eastAsia="方正仿宋_GBK"/>
          <w:bCs/>
          <w:color w:val="000000"/>
          <w:sz w:val="32"/>
          <w:szCs w:val="22"/>
        </w:rPr>
        <w:t>突破性发</w:t>
      </w:r>
      <w:r>
        <w:rPr>
          <w:rFonts w:eastAsia="方正仿宋_GBK"/>
          <w:color w:val="000000"/>
          <w:sz w:val="32"/>
          <w:szCs w:val="32"/>
        </w:rPr>
        <w:t>展跨境电商，推动跨境电商交易总额、网络零售额持续增长。</w:t>
      </w:r>
    </w:p>
    <w:p>
      <w:pPr>
        <w:spacing w:line="580" w:lineRule="exact"/>
        <w:ind w:firstLine="642" w:firstLineChars="200"/>
        <w:rPr>
          <w:rFonts w:eastAsia="方正仿宋_GBK"/>
          <w:color w:val="000000"/>
          <w:sz w:val="32"/>
          <w:szCs w:val="32"/>
        </w:rPr>
      </w:pPr>
      <w:r>
        <w:rPr>
          <w:rFonts w:eastAsia="方正仿宋_GBK"/>
          <w:b/>
          <w:bCs/>
          <w:color w:val="000000"/>
          <w:sz w:val="32"/>
          <w:szCs w:val="32"/>
        </w:rPr>
        <w:t>加快服务贸易发展</w:t>
      </w:r>
      <w:r>
        <w:rPr>
          <w:rFonts w:eastAsia="方正仿宋_GBK"/>
          <w:color w:val="000000"/>
          <w:sz w:val="32"/>
          <w:szCs w:val="32"/>
        </w:rPr>
        <w:t>。全面融入“一带一路”、长江经济带和西部陆海新通道建设，加大对外开放力度，推进对外贸易创新发展，丰富对外贸易模式。积极推动黔江南溪号子、濯水谣、阿蓬江“土苗”民俗等文化服务出口，加强中医药、体育、餐饮等服务领域的国际交流合作</w:t>
      </w:r>
      <w:r>
        <w:rPr>
          <w:rFonts w:eastAsia="方正仿宋_GBK"/>
          <w:color w:val="000000"/>
          <w:sz w:val="32"/>
          <w:szCs w:val="32"/>
          <w:lang w:val="zh-CN"/>
        </w:rPr>
        <w:t>。</w:t>
      </w:r>
      <w:r>
        <w:rPr>
          <w:rFonts w:eastAsia="方正仿宋_GBK"/>
          <w:color w:val="000000"/>
          <w:sz w:val="32"/>
          <w:szCs w:val="32"/>
        </w:rPr>
        <w:t>推动大数据、物联网、移动互联网、云计算等新技术服务贸易模式创新，实施数字影像保护工程，积极承办中国土家族文学奖、中国少数民族优秀电影展映周。推动制造业与服务业、各服务行业之间的融合发展，培育拓展服务外包产业。</w:t>
      </w:r>
      <w:r>
        <w:rPr>
          <w:rFonts w:eastAsia="方正仿宋_GBK"/>
          <w:color w:val="000000"/>
          <w:sz w:val="32"/>
          <w:szCs w:val="32"/>
          <w:lang w:val="zh-CN"/>
        </w:rPr>
        <w:t>引进一批外贸综合服务、金融机构、</w:t>
      </w:r>
      <w:r>
        <w:rPr>
          <w:rFonts w:eastAsia="方正仿宋_GBK"/>
          <w:color w:val="000000"/>
          <w:sz w:val="32"/>
          <w:szCs w:val="32"/>
        </w:rPr>
        <w:t>知名专业服务机构等企业，支持企业开展劳务输出培训、咨询等业务，推动服务贸易产业集聚化发展。</w:t>
      </w:r>
    </w:p>
    <w:p>
      <w:pPr>
        <w:widowControl/>
        <w:spacing w:line="580" w:lineRule="exact"/>
        <w:ind w:firstLine="640" w:firstLineChars="200"/>
        <w:outlineLvl w:val="1"/>
        <w:rPr>
          <w:rFonts w:eastAsia="方正楷体_GBK"/>
          <w:color w:val="000000"/>
          <w:sz w:val="32"/>
          <w:szCs w:val="22"/>
        </w:rPr>
      </w:pPr>
      <w:bookmarkStart w:id="110" w:name="_Toc6730"/>
      <w:r>
        <w:rPr>
          <w:rFonts w:eastAsia="方正楷体_GBK"/>
          <w:color w:val="000000"/>
          <w:sz w:val="32"/>
          <w:szCs w:val="22"/>
        </w:rPr>
        <w:t>（四）优化开放发展环境</w:t>
      </w:r>
      <w:bookmarkEnd w:id="110"/>
    </w:p>
    <w:p>
      <w:pPr>
        <w:spacing w:line="580" w:lineRule="exact"/>
        <w:ind w:firstLine="642" w:firstLineChars="200"/>
        <w:rPr>
          <w:rFonts w:eastAsia="方正仿宋_GBK"/>
          <w:bCs/>
          <w:color w:val="000000"/>
          <w:sz w:val="32"/>
          <w:szCs w:val="22"/>
        </w:rPr>
      </w:pPr>
      <w:r>
        <w:rPr>
          <w:rFonts w:eastAsia="方正仿宋_GBK"/>
          <w:b/>
          <w:color w:val="000000"/>
          <w:sz w:val="32"/>
          <w:szCs w:val="22"/>
        </w:rPr>
        <w:t>优化营商环境</w:t>
      </w:r>
      <w:r>
        <w:rPr>
          <w:rFonts w:eastAsia="方正仿宋_GBK"/>
          <w:bCs/>
          <w:color w:val="000000"/>
          <w:sz w:val="32"/>
          <w:szCs w:val="22"/>
        </w:rPr>
        <w:t>。积极争取上级支持，加强金融基础设施建设，推动跨境结算发展，探索设立外向型经济发展专项资金。探索对会展、快递等服务企业所需通关的国际展品、艺术品、电子商务快件等特殊物品的监管模式创新，为专业人才和专业服务“引进来”和“走出去”提供便利。</w:t>
      </w:r>
    </w:p>
    <w:p>
      <w:pPr>
        <w:spacing w:line="580" w:lineRule="exact"/>
        <w:ind w:firstLine="642" w:firstLineChars="200"/>
        <w:rPr>
          <w:rFonts w:eastAsia="方正仿宋_GBK"/>
          <w:bCs/>
          <w:color w:val="000000"/>
          <w:sz w:val="32"/>
          <w:szCs w:val="22"/>
        </w:rPr>
      </w:pPr>
      <w:r>
        <w:rPr>
          <w:rFonts w:eastAsia="方正仿宋_GBK"/>
          <w:b/>
          <w:color w:val="000000"/>
          <w:sz w:val="32"/>
          <w:szCs w:val="22"/>
        </w:rPr>
        <w:t>优化市场环境</w:t>
      </w:r>
      <w:r>
        <w:rPr>
          <w:rFonts w:eastAsia="方正仿宋_GBK"/>
          <w:bCs/>
          <w:color w:val="000000"/>
          <w:sz w:val="32"/>
          <w:szCs w:val="22"/>
        </w:rPr>
        <w:t>。发挥市场在资源配置中的决定性作用，加快公平竞争审查制度建设，持续深入开展不正当竞争行为治理，营造内外资企业一视同仁、公平竞争的市场环境。</w:t>
      </w:r>
    </w:p>
    <w:p>
      <w:pPr>
        <w:spacing w:line="580" w:lineRule="exact"/>
        <w:ind w:firstLine="640" w:firstLineChars="200"/>
        <w:outlineLvl w:val="1"/>
        <w:rPr>
          <w:rFonts w:eastAsia="方正楷体_GBK"/>
          <w:color w:val="000000"/>
          <w:sz w:val="32"/>
          <w:szCs w:val="22"/>
        </w:rPr>
      </w:pPr>
      <w:bookmarkStart w:id="111" w:name="_Toc22014"/>
      <w:r>
        <w:rPr>
          <w:rFonts w:eastAsia="方正楷体_GBK"/>
          <w:color w:val="000000"/>
          <w:sz w:val="32"/>
          <w:szCs w:val="22"/>
        </w:rPr>
        <w:t>（五）强化区域协同合作</w:t>
      </w:r>
      <w:bookmarkEnd w:id="111"/>
    </w:p>
    <w:p>
      <w:pPr>
        <w:spacing w:line="580" w:lineRule="exact"/>
        <w:ind w:firstLine="642" w:firstLineChars="200"/>
        <w:rPr>
          <w:rFonts w:eastAsia="方正仿宋_GBK"/>
          <w:b/>
          <w:bCs/>
          <w:color w:val="000000"/>
          <w:sz w:val="32"/>
          <w:szCs w:val="32"/>
        </w:rPr>
      </w:pPr>
      <w:r>
        <w:rPr>
          <w:rFonts w:eastAsia="方正仿宋_GBK"/>
          <w:b/>
          <w:bCs/>
          <w:color w:val="000000"/>
          <w:sz w:val="32"/>
          <w:szCs w:val="32"/>
        </w:rPr>
        <w:t>全面推动武陵山区协同发展。</w:t>
      </w:r>
      <w:r>
        <w:rPr>
          <w:rFonts w:eastAsia="方正仿宋_GBK"/>
          <w:color w:val="000000"/>
          <w:sz w:val="32"/>
          <w:szCs w:val="32"/>
        </w:rPr>
        <w:t>深化推进与武陵山区周边地区联动发展，积极争取湘鄂渝黔革命老区振兴发展政策落地落实，加快中华民族共同体武陵山区域协作发展示范区建设，推动文旅融合发展、基础设施共建、产业协作配套、公共服务共享，积极发挥利他作用。建立健全武陵山区和渝东南武陵山区城镇群产业合作机制，推动材料、食品加工、蚕桑纺织等重点企业组建跨区域跨行业的技术、人才等创新合作平台，促进细化分工协作。推动渝东南武陵山区城镇群共同发展，探索和鼓励毗邻乡镇开展深度合作，推动产业分工、基础设施、公共服务、环境治理、对外开放、改革创新等协调联动发展。</w:t>
      </w:r>
    </w:p>
    <w:p>
      <w:pPr>
        <w:spacing w:line="580" w:lineRule="exact"/>
        <w:ind w:firstLine="642" w:firstLineChars="200"/>
        <w:rPr>
          <w:rFonts w:eastAsia="方正仿宋_GBK"/>
          <w:color w:val="000000"/>
          <w:sz w:val="32"/>
          <w:szCs w:val="32"/>
        </w:rPr>
      </w:pPr>
      <w:r>
        <w:rPr>
          <w:rFonts w:eastAsia="方正仿宋_GBK"/>
          <w:b/>
          <w:bCs/>
          <w:color w:val="000000"/>
          <w:sz w:val="32"/>
          <w:szCs w:val="32"/>
        </w:rPr>
        <w:t>加强与主城都市区合作</w:t>
      </w:r>
      <w:r>
        <w:rPr>
          <w:rFonts w:eastAsia="方正仿宋_GBK"/>
          <w:color w:val="000000"/>
          <w:sz w:val="32"/>
          <w:szCs w:val="32"/>
        </w:rPr>
        <w:t>。推动与主城都市区基础设施互联互通，全面强化与主城都市区在航空、铁路、公路物流等协同联通，构建现代化货运物流体系。推动建立区域间产业园区合作机制，打造功能互补、产业配套“飞地产业园”，推动产业转移承接合作，共建产业链。推动与两江新区、重庆高新区、西永综合保税区等国家级发展平台协同联动。</w:t>
      </w:r>
    </w:p>
    <w:p>
      <w:pPr>
        <w:widowControl/>
        <w:spacing w:line="580" w:lineRule="exact"/>
        <w:ind w:firstLine="642" w:firstLineChars="200"/>
        <w:rPr>
          <w:rFonts w:eastAsia="方正仿宋_GBK"/>
          <w:bCs/>
          <w:color w:val="000000"/>
          <w:sz w:val="32"/>
          <w:szCs w:val="22"/>
        </w:rPr>
      </w:pPr>
      <w:r>
        <w:rPr>
          <w:rFonts w:eastAsia="方正仿宋_GBK"/>
          <w:b/>
          <w:color w:val="000000"/>
          <w:sz w:val="32"/>
          <w:szCs w:val="22"/>
        </w:rPr>
        <w:t>全面融入成渝地区双城经济圈建设</w:t>
      </w:r>
      <w:r>
        <w:rPr>
          <w:rFonts w:eastAsia="方正仿宋_GBK"/>
          <w:bCs/>
          <w:color w:val="000000"/>
          <w:sz w:val="32"/>
          <w:szCs w:val="22"/>
        </w:rPr>
        <w:t>。推动与成渝地区双城经济圈基础设施互联互通，深度参与成渝地区优势产业协作配套，加强茧丝绸、玻璃纤维、生物医药、农副产品加工、康养旅游等产业领域合作，积极发展飞地经济。探索总部、研发、终端产品在成都重庆，生产基地、转化、中间配套落地黔江的协同发展模式，推动与成渝地区双城经济圈产业链上下游企业协作配套。深化与天府新区、成都高新区、遂潼川渝毗邻地区一体化发展先行区、川渝高竹新区等平台协同发展。加强与长三角地区、粤港澳大湾区、京津冀地区等发达地区经济合作，主动承接东部沿海发达地区产业转移，大力发展总部经济、外贸服务经济。</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 w:hRule="atLeast"/>
          <w:jc w:val="center"/>
        </w:trPr>
        <w:tc>
          <w:tcPr>
            <w:tcW w:w="8855" w:type="dxa"/>
            <w:noWrap w:val="0"/>
            <w:vAlign w:val="top"/>
          </w:tcPr>
          <w:p>
            <w:pPr>
              <w:spacing w:line="440" w:lineRule="exact"/>
              <w:jc w:val="center"/>
              <w:rPr>
                <w:rFonts w:eastAsia="方正黑体_GBK"/>
                <w:bCs/>
                <w:color w:val="000000"/>
                <w:sz w:val="24"/>
                <w:szCs w:val="28"/>
              </w:rPr>
            </w:pPr>
            <w:r>
              <w:rPr>
                <w:rFonts w:eastAsia="方正黑体_GBK"/>
                <w:bCs/>
                <w:color w:val="000000"/>
                <w:sz w:val="24"/>
                <w:szCs w:val="28"/>
              </w:rPr>
              <w:t>专栏6-2 区域合作建设项目</w:t>
            </w:r>
          </w:p>
          <w:p>
            <w:pPr>
              <w:spacing w:line="400" w:lineRule="exact"/>
              <w:ind w:firstLine="481" w:firstLineChars="200"/>
              <w:jc w:val="left"/>
              <w:rPr>
                <w:rFonts w:eastAsia="方正仿宋_GBK"/>
                <w:color w:val="000000"/>
                <w:sz w:val="24"/>
              </w:rPr>
            </w:pPr>
            <w:r>
              <w:rPr>
                <w:rFonts w:eastAsia="方正仿宋_GBK"/>
                <w:b/>
                <w:bCs/>
                <w:color w:val="000000"/>
                <w:sz w:val="24"/>
              </w:rPr>
              <w:t>武陵山区域协同发展</w:t>
            </w:r>
            <w:r>
              <w:rPr>
                <w:rFonts w:eastAsia="方正仿宋_GBK"/>
                <w:color w:val="000000"/>
                <w:sz w:val="24"/>
              </w:rPr>
              <w:t>。“武隆—彭水—黔江—酉阳”乌江画廊旅游示范带、“黔江—彭水—酉阳”内部环线经典旅游线路，渝东南武陵山文旅融合投资平台，“渝东南武陵山区民俗文化”制造业集合品牌，区域商标品牌执法协作机构。武陵山黄金旅游圈、黔江—恩施先行示范区，武陵山旅游“一票通”。</w:t>
            </w:r>
          </w:p>
          <w:p>
            <w:pPr>
              <w:spacing w:line="400" w:lineRule="exact"/>
              <w:ind w:firstLine="481" w:firstLineChars="200"/>
              <w:jc w:val="left"/>
              <w:rPr>
                <w:rFonts w:eastAsia="方正仿宋_GBK"/>
                <w:color w:val="000000"/>
                <w:sz w:val="24"/>
              </w:rPr>
            </w:pPr>
            <w:r>
              <w:rPr>
                <w:rFonts w:eastAsia="方正仿宋_GBK"/>
                <w:b/>
                <w:bCs/>
                <w:color w:val="000000"/>
                <w:sz w:val="24"/>
              </w:rPr>
              <w:t>主城都市区合作</w:t>
            </w:r>
            <w:r>
              <w:rPr>
                <w:rFonts w:eastAsia="方正仿宋_GBK"/>
                <w:color w:val="000000"/>
                <w:sz w:val="24"/>
              </w:rPr>
              <w:t>。飞地产业园，落实“一区两群”区县对口协同发展机制。</w:t>
            </w:r>
          </w:p>
          <w:p>
            <w:pPr>
              <w:spacing w:line="400" w:lineRule="exact"/>
              <w:ind w:firstLine="481" w:firstLineChars="200"/>
              <w:jc w:val="left"/>
              <w:rPr>
                <w:color w:val="000000"/>
              </w:rPr>
            </w:pPr>
            <w:r>
              <w:rPr>
                <w:rFonts w:eastAsia="方正仿宋_GBK"/>
                <w:b/>
                <w:bCs/>
                <w:color w:val="000000"/>
                <w:sz w:val="24"/>
              </w:rPr>
              <w:t>成渝地区双城经济圈合作</w:t>
            </w:r>
            <w:r>
              <w:rPr>
                <w:rFonts w:eastAsia="方正仿宋_GBK"/>
                <w:color w:val="000000"/>
                <w:sz w:val="24"/>
              </w:rPr>
              <w:t>。承接东部产业转移示范园。</w:t>
            </w:r>
          </w:p>
        </w:tc>
      </w:tr>
    </w:tbl>
    <w:p>
      <w:pPr>
        <w:spacing w:before="156" w:line="580" w:lineRule="exact"/>
        <w:outlineLvl w:val="0"/>
        <w:rPr>
          <w:rFonts w:eastAsia="方正仿宋_GBK"/>
          <w:b/>
          <w:bCs/>
          <w:color w:val="000000"/>
          <w:sz w:val="32"/>
          <w:szCs w:val="22"/>
        </w:rPr>
        <w:sectPr>
          <w:pgSz w:w="11906" w:h="16838" w:orient="landscape"/>
          <w:pgMar w:top="2098" w:right="1531" w:bottom="1984" w:left="1531" w:header="1418" w:footer="1304" w:gutter="0"/>
          <w:cols w:space="720" w:num="1"/>
          <w:docGrid w:linePitch="312" w:charSpace="0"/>
        </w:sectPr>
      </w:pPr>
    </w:p>
    <w:p>
      <w:pPr>
        <w:spacing w:line="580" w:lineRule="exact"/>
        <w:outlineLvl w:val="0"/>
        <w:rPr>
          <w:rFonts w:eastAsia="方正黑体_GBK"/>
          <w:color w:val="000000"/>
          <w:sz w:val="32"/>
          <w:szCs w:val="22"/>
        </w:rPr>
      </w:pPr>
      <w:bookmarkStart w:id="112" w:name="_Toc25109"/>
      <w:r>
        <w:rPr>
          <w:rFonts w:eastAsia="方正黑体_GBK"/>
          <w:color w:val="000000"/>
          <w:sz w:val="32"/>
          <w:szCs w:val="22"/>
        </w:rPr>
        <w:t>七、加快现代物流体系建设，打造区域物流</w:t>
      </w:r>
      <w:bookmarkEnd w:id="102"/>
      <w:bookmarkEnd w:id="103"/>
      <w:bookmarkEnd w:id="104"/>
      <w:bookmarkEnd w:id="105"/>
      <w:r>
        <w:rPr>
          <w:rFonts w:eastAsia="方正黑体_GBK"/>
          <w:color w:val="000000"/>
          <w:sz w:val="32"/>
          <w:szCs w:val="22"/>
        </w:rPr>
        <w:t>集散中心</w:t>
      </w:r>
      <w:bookmarkEnd w:id="112"/>
    </w:p>
    <w:p>
      <w:pPr>
        <w:spacing w:line="580" w:lineRule="exact"/>
        <w:ind w:firstLine="640" w:firstLineChars="200"/>
        <w:rPr>
          <w:rFonts w:eastAsia="方正仿宋_GBK"/>
          <w:bCs/>
          <w:color w:val="000000"/>
          <w:sz w:val="32"/>
          <w:szCs w:val="22"/>
        </w:rPr>
      </w:pPr>
      <w:r>
        <w:rPr>
          <w:rFonts w:eastAsia="方正仿宋_GBK"/>
          <w:bCs/>
          <w:color w:val="000000"/>
          <w:sz w:val="32"/>
          <w:szCs w:val="22"/>
        </w:rPr>
        <w:t>推进渝东南空铁联运</w:t>
      </w:r>
      <w:r>
        <w:rPr>
          <w:rFonts w:hint="eastAsia" w:eastAsia="方正仿宋_GBK"/>
          <w:bCs/>
          <w:color w:val="000000"/>
          <w:sz w:val="32"/>
          <w:szCs w:val="22"/>
        </w:rPr>
        <w:t>示范区</w:t>
      </w:r>
      <w:r>
        <w:rPr>
          <w:rFonts w:eastAsia="方正仿宋_GBK"/>
          <w:bCs/>
          <w:color w:val="000000"/>
          <w:sz w:val="32"/>
          <w:szCs w:val="22"/>
        </w:rPr>
        <w:t>建设，完善城乡物流配送网络，推进冷链物流体系建设，构建现代物流供应链体系，积极发展智慧物流、绿色物流等新业态、新模式，打造区域物流集散中心。</w:t>
      </w:r>
    </w:p>
    <w:p>
      <w:pPr>
        <w:widowControl/>
        <w:spacing w:line="580" w:lineRule="exact"/>
        <w:ind w:firstLine="640" w:firstLineChars="200"/>
        <w:outlineLvl w:val="1"/>
        <w:rPr>
          <w:rFonts w:eastAsia="方正楷体_GBK"/>
          <w:color w:val="000000"/>
          <w:sz w:val="32"/>
          <w:szCs w:val="22"/>
        </w:rPr>
      </w:pPr>
      <w:bookmarkStart w:id="113" w:name="_Toc20807"/>
      <w:bookmarkStart w:id="114" w:name="_Toc5884"/>
      <w:bookmarkStart w:id="115" w:name="_Toc9775"/>
      <w:bookmarkStart w:id="116" w:name="_Toc29195"/>
      <w:bookmarkStart w:id="117" w:name="_Toc7142"/>
      <w:r>
        <w:rPr>
          <w:rFonts w:eastAsia="方正楷体_GBK"/>
          <w:color w:val="000000"/>
          <w:sz w:val="32"/>
          <w:szCs w:val="22"/>
        </w:rPr>
        <w:t>（一）</w:t>
      </w:r>
      <w:bookmarkEnd w:id="113"/>
      <w:bookmarkEnd w:id="114"/>
      <w:bookmarkEnd w:id="115"/>
      <w:bookmarkEnd w:id="116"/>
      <w:r>
        <w:rPr>
          <w:rFonts w:eastAsia="方正楷体_GBK"/>
          <w:color w:val="000000"/>
          <w:sz w:val="32"/>
          <w:szCs w:val="22"/>
        </w:rPr>
        <w:t>加快打造区域物流集散中心</w:t>
      </w:r>
      <w:bookmarkEnd w:id="117"/>
    </w:p>
    <w:p>
      <w:pPr>
        <w:spacing w:line="580" w:lineRule="exact"/>
        <w:ind w:firstLine="640" w:firstLineChars="200"/>
        <w:rPr>
          <w:rFonts w:eastAsia="方正仿宋_GBK"/>
          <w:bCs/>
          <w:color w:val="000000"/>
          <w:sz w:val="32"/>
          <w:szCs w:val="22"/>
        </w:rPr>
      </w:pPr>
      <w:r>
        <w:rPr>
          <w:rFonts w:hint="eastAsia" w:eastAsia="方正仿宋_GBK"/>
          <w:color w:val="000000"/>
          <w:sz w:val="32"/>
          <w:szCs w:val="32"/>
        </w:rPr>
        <w:t>加快推进</w:t>
      </w:r>
      <w:r>
        <w:rPr>
          <w:rFonts w:eastAsia="方正仿宋_GBK"/>
          <w:color w:val="000000"/>
          <w:sz w:val="32"/>
          <w:szCs w:val="32"/>
        </w:rPr>
        <w:t>正阳现代物流园区</w:t>
      </w:r>
      <w:r>
        <w:rPr>
          <w:rFonts w:hint="eastAsia" w:eastAsia="方正仿宋_GBK"/>
          <w:color w:val="000000"/>
          <w:sz w:val="32"/>
          <w:szCs w:val="32"/>
        </w:rPr>
        <w:t>、</w:t>
      </w:r>
      <w:r>
        <w:rPr>
          <w:rFonts w:eastAsia="方正仿宋_GBK"/>
          <w:bCs/>
          <w:color w:val="000000"/>
          <w:sz w:val="32"/>
          <w:szCs w:val="22"/>
        </w:rPr>
        <w:t>渝东南铁路物流中心、渝东南航空物流中心</w:t>
      </w:r>
      <w:r>
        <w:rPr>
          <w:rFonts w:hint="eastAsia" w:eastAsia="方正仿宋_GBK"/>
          <w:bCs/>
          <w:color w:val="000000"/>
          <w:sz w:val="32"/>
          <w:szCs w:val="22"/>
        </w:rPr>
        <w:t>、</w:t>
      </w:r>
      <w:r>
        <w:rPr>
          <w:rFonts w:eastAsia="方正仿宋_GBK"/>
          <w:bCs/>
          <w:color w:val="000000"/>
          <w:sz w:val="32"/>
          <w:szCs w:val="22"/>
        </w:rPr>
        <w:t>渝东南公路物流中心等四大物流基地建设，推动高等级公路与铁路货场、武陵山机场、物流园区的接驳设施建设，推动运输结构优化调整，推进物流设施有效衔接，积极推进渝东南空铁联运示范区建设</w:t>
      </w:r>
      <w:r>
        <w:rPr>
          <w:rFonts w:hint="eastAsia" w:eastAsia="方正仿宋_GBK"/>
          <w:bCs/>
          <w:color w:val="000000"/>
          <w:sz w:val="32"/>
          <w:szCs w:val="22"/>
        </w:rPr>
        <w:t>，</w:t>
      </w:r>
      <w:r>
        <w:rPr>
          <w:rFonts w:eastAsia="方正仿宋_GBK"/>
          <w:bCs/>
          <w:color w:val="000000"/>
          <w:sz w:val="32"/>
          <w:szCs w:val="22"/>
        </w:rPr>
        <w:t>构建便捷高效的“空铁公”多式联运体系。大力引进国家级知名物流企业来黔江设立区域性物流集散、分拨中心，培育发展一批经营规模大、技术水平高、核心竞争力强的现代物流龙头企业，积极发展社会化、专业化、精细化第三方物流，完善现代仓储、库存管理、物流分拨、报关代理等物流枢纽配套服务，建设通达顺畅的现代物流服务体系，构建集运输、仓储、加工配送等于一体的物流业产业链、价值链。推进物流公共信息平台建设，整合物流信息资源、推动交互化共享，完善物流市场监管、税务、银行、保险等商务配套服务，加快建成区域物流集散中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55" w:type="dxa"/>
            <w:noWrap w:val="0"/>
            <w:vAlign w:val="top"/>
          </w:tcPr>
          <w:p>
            <w:pPr>
              <w:pStyle w:val="148"/>
              <w:spacing w:line="440" w:lineRule="exact"/>
              <w:jc w:val="center"/>
              <w:rPr>
                <w:rFonts w:ascii="Times New Roman" w:eastAsia="方正黑体_GBK" w:cs="Times New Roman"/>
                <w:bCs/>
                <w:szCs w:val="28"/>
              </w:rPr>
            </w:pPr>
            <w:r>
              <w:rPr>
                <w:rFonts w:ascii="Times New Roman" w:eastAsia="方正黑体_GBK" w:cs="Times New Roman"/>
                <w:bCs/>
                <w:szCs w:val="28"/>
              </w:rPr>
              <w:t>专栏7-1：区域物流集散中心建设重点工程</w:t>
            </w:r>
          </w:p>
          <w:p>
            <w:pPr>
              <w:spacing w:line="440" w:lineRule="exact"/>
              <w:ind w:firstLine="481" w:firstLineChars="200"/>
              <w:jc w:val="left"/>
              <w:rPr>
                <w:rFonts w:eastAsia="方正仿宋_GBK"/>
                <w:color w:val="000000"/>
                <w:sz w:val="24"/>
              </w:rPr>
            </w:pPr>
            <w:r>
              <w:rPr>
                <w:rFonts w:eastAsia="方正仿宋_GBK"/>
                <w:b/>
                <w:color w:val="000000"/>
                <w:sz w:val="24"/>
              </w:rPr>
              <w:t>渝东南航空物流中心</w:t>
            </w:r>
            <w:r>
              <w:rPr>
                <w:rFonts w:eastAsia="方正仿宋_GBK"/>
                <w:color w:val="000000"/>
                <w:sz w:val="24"/>
              </w:rPr>
              <w:t>。监管配送、保税仓储、物流加工</w:t>
            </w:r>
            <w:r>
              <w:rPr>
                <w:rFonts w:hint="eastAsia" w:eastAsia="方正仿宋_GBK"/>
                <w:color w:val="000000"/>
                <w:sz w:val="24"/>
              </w:rPr>
              <w:t>区</w:t>
            </w:r>
            <w:r>
              <w:rPr>
                <w:rFonts w:eastAsia="方正仿宋_GBK"/>
                <w:color w:val="000000"/>
                <w:sz w:val="24"/>
              </w:rPr>
              <w:t>，邮政快件分拨、卡车航班等。</w:t>
            </w:r>
          </w:p>
          <w:p>
            <w:pPr>
              <w:spacing w:line="440" w:lineRule="exact"/>
              <w:ind w:firstLine="481" w:firstLineChars="200"/>
              <w:jc w:val="left"/>
              <w:rPr>
                <w:rFonts w:eastAsia="方正仿宋_GBK"/>
                <w:b/>
                <w:color w:val="000000"/>
                <w:sz w:val="24"/>
              </w:rPr>
            </w:pPr>
            <w:r>
              <w:rPr>
                <w:rFonts w:eastAsia="方正仿宋_GBK"/>
                <w:b/>
                <w:color w:val="000000"/>
                <w:sz w:val="24"/>
              </w:rPr>
              <w:t>渝东南铁路物流中心</w:t>
            </w:r>
            <w:r>
              <w:rPr>
                <w:rFonts w:eastAsia="方正仿宋_GBK"/>
                <w:color w:val="000000"/>
                <w:sz w:val="24"/>
              </w:rPr>
              <w:t>。海关监管作业场所、进出口商品分捡中心、货物货场等。</w:t>
            </w:r>
          </w:p>
          <w:p>
            <w:pPr>
              <w:spacing w:line="440" w:lineRule="exact"/>
              <w:ind w:firstLine="481" w:firstLineChars="200"/>
              <w:rPr>
                <w:rFonts w:eastAsia="方正仿宋_GBK"/>
                <w:color w:val="000000"/>
                <w:sz w:val="24"/>
              </w:rPr>
            </w:pPr>
            <w:r>
              <w:rPr>
                <w:rFonts w:eastAsia="方正仿宋_GBK"/>
                <w:b/>
                <w:color w:val="000000"/>
                <w:sz w:val="24"/>
              </w:rPr>
              <w:t>渝东南公路物流中心</w:t>
            </w:r>
            <w:r>
              <w:rPr>
                <w:rFonts w:eastAsia="方正仿宋_GBK"/>
                <w:bCs/>
                <w:color w:val="000000"/>
                <w:sz w:val="24"/>
              </w:rPr>
              <w:t>。</w:t>
            </w:r>
            <w:r>
              <w:rPr>
                <w:rFonts w:eastAsia="方正仿宋_GBK"/>
                <w:color w:val="000000"/>
                <w:sz w:val="24"/>
              </w:rPr>
              <w:t>物流园区建设货运站。</w:t>
            </w:r>
          </w:p>
          <w:p>
            <w:pPr>
              <w:spacing w:line="440" w:lineRule="exact"/>
              <w:ind w:firstLine="481" w:firstLineChars="200"/>
              <w:jc w:val="left"/>
              <w:rPr>
                <w:rFonts w:eastAsia="方正仿宋_GBK"/>
                <w:color w:val="000000"/>
                <w:sz w:val="24"/>
              </w:rPr>
            </w:pPr>
            <w:r>
              <w:rPr>
                <w:rFonts w:eastAsia="方正仿宋_GBK"/>
                <w:b/>
                <w:color w:val="000000"/>
                <w:sz w:val="24"/>
              </w:rPr>
              <w:t>正阳现代物流园区</w:t>
            </w:r>
            <w:r>
              <w:rPr>
                <w:rFonts w:eastAsia="方正仿宋_GBK"/>
                <w:color w:val="000000"/>
                <w:sz w:val="24"/>
              </w:rPr>
              <w:t>。冷链物流、电商物流、专业物流，智慧物流园区。</w:t>
            </w:r>
          </w:p>
        </w:tc>
      </w:tr>
    </w:tbl>
    <w:p>
      <w:pPr>
        <w:widowControl/>
        <w:spacing w:line="580" w:lineRule="exact"/>
        <w:ind w:firstLine="640" w:firstLineChars="200"/>
        <w:outlineLvl w:val="1"/>
        <w:rPr>
          <w:rFonts w:eastAsia="方正楷体_GBK"/>
          <w:color w:val="000000"/>
          <w:sz w:val="32"/>
          <w:szCs w:val="22"/>
        </w:rPr>
      </w:pPr>
      <w:bookmarkStart w:id="118" w:name="_Toc26861"/>
      <w:bookmarkStart w:id="119" w:name="_Toc30491"/>
      <w:bookmarkStart w:id="120" w:name="_Toc10502"/>
      <w:bookmarkStart w:id="121" w:name="_Toc2484"/>
      <w:bookmarkStart w:id="122" w:name="_Toc16672"/>
      <w:r>
        <w:rPr>
          <w:rFonts w:eastAsia="方正楷体_GBK"/>
          <w:color w:val="000000"/>
          <w:sz w:val="32"/>
          <w:szCs w:val="22"/>
        </w:rPr>
        <w:t>（二）</w:t>
      </w:r>
      <w:bookmarkEnd w:id="118"/>
      <w:r>
        <w:rPr>
          <w:rFonts w:eastAsia="方正楷体_GBK"/>
          <w:color w:val="000000"/>
          <w:sz w:val="32"/>
          <w:szCs w:val="22"/>
        </w:rPr>
        <w:t>完善城乡物流配送网络</w:t>
      </w:r>
      <w:bookmarkEnd w:id="119"/>
      <w:bookmarkEnd w:id="120"/>
      <w:bookmarkEnd w:id="121"/>
      <w:bookmarkEnd w:id="122"/>
    </w:p>
    <w:p>
      <w:pPr>
        <w:spacing w:line="580" w:lineRule="exact"/>
        <w:ind w:firstLine="640" w:firstLineChars="200"/>
        <w:rPr>
          <w:rFonts w:eastAsia="方正仿宋_GBK"/>
          <w:bCs/>
          <w:color w:val="000000"/>
          <w:sz w:val="32"/>
          <w:szCs w:val="22"/>
        </w:rPr>
      </w:pPr>
      <w:r>
        <w:rPr>
          <w:rFonts w:eastAsia="方正仿宋_GBK"/>
          <w:bCs/>
          <w:color w:val="000000"/>
          <w:sz w:val="32"/>
          <w:szCs w:val="22"/>
        </w:rPr>
        <w:t>围绕构建</w:t>
      </w:r>
      <w:r>
        <w:rPr>
          <w:rFonts w:eastAsia="方正仿宋_GBK"/>
          <w:color w:val="000000"/>
          <w:sz w:val="32"/>
          <w:szCs w:val="32"/>
        </w:rPr>
        <w:t>“</w:t>
      </w:r>
      <w:r>
        <w:rPr>
          <w:rFonts w:eastAsia="方正仿宋_GBK"/>
          <w:bCs/>
          <w:color w:val="000000"/>
          <w:sz w:val="32"/>
          <w:szCs w:val="22"/>
        </w:rPr>
        <w:t>4+24+N</w:t>
      </w:r>
      <w:r>
        <w:rPr>
          <w:rFonts w:eastAsia="方正仿宋_GBK"/>
          <w:color w:val="000000"/>
          <w:sz w:val="32"/>
          <w:szCs w:val="32"/>
        </w:rPr>
        <w:t>”</w:t>
      </w:r>
      <w:r>
        <w:rPr>
          <w:rFonts w:eastAsia="方正仿宋_GBK"/>
          <w:bCs/>
          <w:color w:val="000000"/>
          <w:sz w:val="32"/>
          <w:szCs w:val="22"/>
        </w:rPr>
        <w:t>城乡物流配送网络，依托四大物流基地，积极推进区域集散仓、分拨中心、快递分拣中心、云仓等项目建设，拓展冯家北部片区、册山片区物流功能，加快完善物流分拨中心、专业配送中心、末端配送网点三级网络为主的城市配送体系。加强24个乡镇级物流站点基础设施建设，推动仓配一体化和共同配送，构建城乡双向畅通的物流配送网络，培育建设跨区域、综合性现代化农产品交易中心，完善乡镇物流配送停靠、装卸、存储等作业设施，优化配送车辆通行管理，形成次级物流节点。建立N个农村物流网点，完善农村物流基础设施网络，拓展延伸农村末端物流配送网络，完善黔江区物流配送体系。推进城乡配送信息化标准化建设，推动建立科学有序的物流分拨调配系统和互联互通的物流信息服务平台。</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55" w:type="dxa"/>
            <w:noWrap w:val="0"/>
            <w:vAlign w:val="top"/>
          </w:tcPr>
          <w:p>
            <w:pPr>
              <w:pStyle w:val="148"/>
              <w:spacing w:line="440" w:lineRule="exact"/>
              <w:jc w:val="center"/>
              <w:rPr>
                <w:rFonts w:ascii="Times New Roman" w:eastAsia="方正黑体_GBK" w:cs="Times New Roman"/>
                <w:bCs/>
                <w:szCs w:val="28"/>
              </w:rPr>
            </w:pPr>
            <w:r>
              <w:rPr>
                <w:rFonts w:ascii="Times New Roman" w:eastAsia="方正黑体_GBK" w:cs="Times New Roman"/>
                <w:bCs/>
                <w:szCs w:val="28"/>
              </w:rPr>
              <w:t>专栏7-2：城乡物流配送网络建设重点</w:t>
            </w:r>
          </w:p>
          <w:p>
            <w:pPr>
              <w:spacing w:line="440" w:lineRule="exact"/>
              <w:ind w:firstLine="481" w:firstLineChars="200"/>
              <w:jc w:val="left"/>
              <w:rPr>
                <w:rFonts w:eastAsia="方正仿宋_GBK"/>
                <w:color w:val="000000"/>
                <w:sz w:val="24"/>
              </w:rPr>
            </w:pPr>
            <w:r>
              <w:rPr>
                <w:rFonts w:eastAsia="方正仿宋_GBK"/>
                <w:b/>
                <w:color w:val="000000"/>
                <w:sz w:val="24"/>
              </w:rPr>
              <w:t>城市共同配送</w:t>
            </w:r>
            <w:r>
              <w:rPr>
                <w:rFonts w:eastAsia="方正仿宋_GBK"/>
                <w:color w:val="000000"/>
                <w:sz w:val="24"/>
              </w:rPr>
              <w:t>。区域集散仓、分拨中心、快递分拣中心、云仓</w:t>
            </w:r>
            <w:r>
              <w:rPr>
                <w:rFonts w:hint="eastAsia" w:eastAsia="方正仿宋_GBK"/>
                <w:color w:val="000000"/>
                <w:sz w:val="24"/>
              </w:rPr>
              <w:t>、</w:t>
            </w:r>
            <w:r>
              <w:rPr>
                <w:rFonts w:eastAsia="方正仿宋_GBK"/>
                <w:color w:val="000000"/>
                <w:sz w:val="24"/>
              </w:rPr>
              <w:t>专业配送中心、末端配送网点。</w:t>
            </w:r>
          </w:p>
          <w:p>
            <w:pPr>
              <w:spacing w:line="440" w:lineRule="exact"/>
              <w:ind w:firstLine="481" w:firstLineChars="200"/>
              <w:jc w:val="left"/>
              <w:rPr>
                <w:rFonts w:eastAsia="方正仿宋_GBK"/>
                <w:b/>
                <w:color w:val="000000"/>
                <w:sz w:val="24"/>
              </w:rPr>
            </w:pPr>
            <w:r>
              <w:rPr>
                <w:rFonts w:eastAsia="方正仿宋_GBK"/>
                <w:b/>
                <w:color w:val="000000"/>
                <w:sz w:val="24"/>
              </w:rPr>
              <w:t>乡村物流设施</w:t>
            </w:r>
            <w:r>
              <w:rPr>
                <w:rFonts w:eastAsia="方正仿宋_GBK"/>
                <w:color w:val="000000"/>
                <w:sz w:val="24"/>
              </w:rPr>
              <w:t>。</w:t>
            </w:r>
            <w:r>
              <w:rPr>
                <w:rFonts w:eastAsia="方正仿宋_GBK"/>
                <w:bCs/>
                <w:color w:val="000000"/>
                <w:sz w:val="24"/>
              </w:rPr>
              <w:t>停靠、装卸、存储等作业设施，农村物流基础设施。</w:t>
            </w:r>
          </w:p>
        </w:tc>
      </w:tr>
    </w:tbl>
    <w:p>
      <w:pPr>
        <w:widowControl/>
        <w:spacing w:line="580" w:lineRule="exact"/>
        <w:ind w:firstLine="640" w:firstLineChars="200"/>
        <w:outlineLvl w:val="1"/>
        <w:rPr>
          <w:rFonts w:eastAsia="方正楷体_GBK"/>
          <w:color w:val="000000"/>
          <w:sz w:val="32"/>
          <w:szCs w:val="22"/>
        </w:rPr>
      </w:pPr>
      <w:bookmarkStart w:id="123" w:name="_Toc29591"/>
      <w:bookmarkStart w:id="124" w:name="_Toc21148"/>
      <w:bookmarkStart w:id="125" w:name="_Toc22009"/>
      <w:bookmarkStart w:id="126" w:name="_Toc4748"/>
      <w:bookmarkStart w:id="127" w:name="_Toc32534"/>
      <w:r>
        <w:rPr>
          <w:rFonts w:eastAsia="方正楷体_GBK"/>
          <w:color w:val="000000"/>
          <w:sz w:val="32"/>
          <w:szCs w:val="22"/>
        </w:rPr>
        <w:t>（三）推进冷链物流体系建设</w:t>
      </w:r>
      <w:bookmarkEnd w:id="123"/>
      <w:bookmarkEnd w:id="124"/>
      <w:bookmarkEnd w:id="125"/>
      <w:bookmarkEnd w:id="126"/>
      <w:bookmarkEnd w:id="127"/>
    </w:p>
    <w:p>
      <w:pPr>
        <w:spacing w:line="580" w:lineRule="exact"/>
        <w:ind w:firstLine="640" w:firstLineChars="200"/>
        <w:rPr>
          <w:rFonts w:eastAsia="方正仿宋_GBK"/>
          <w:bCs/>
          <w:color w:val="000000"/>
          <w:sz w:val="32"/>
          <w:szCs w:val="22"/>
        </w:rPr>
      </w:pPr>
      <w:r>
        <w:rPr>
          <w:rFonts w:eastAsia="方正仿宋_GBK"/>
          <w:bCs/>
          <w:color w:val="000000"/>
          <w:sz w:val="32"/>
          <w:szCs w:val="22"/>
        </w:rPr>
        <w:t>积极推动黔江武陵山机场冻库建设，完善渝东南冷链物流中心配套功能，鼓励中心城区商场、超市、社区零售网点、邮政快递分拣中心改造冷链物流节点，推动城乡冷链物流配送网点建设，支持阿蓬江、马喇、邻鄂等特色农产品产地和田头市场建设规模适度的预冷、贮藏保鲜等初加工冷链设施，构建以正阳为核心，覆盖全区主要农产品产地和消费地的冷链物流网络。推动三磊渝东南冷链物流中心引进生鲜农产品批零、冷藏运输配送、冷链流通加工、中央厨房等运营主体，积极发展“生鲜电商+冷链宅配”“中央厨房+食材冷链配送”“社区家庭厨房”等冷链物流新模式。推广标准化车载冷藏箱、低温周转箱、冷藏快递储存箱等设施设备应用，加强物联网技术在冷链运输中的应用。建立健全产地贮存与冷链物流体系运营机制。</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55" w:type="dxa"/>
            <w:noWrap w:val="0"/>
            <w:vAlign w:val="top"/>
          </w:tcPr>
          <w:p>
            <w:pPr>
              <w:pStyle w:val="148"/>
              <w:spacing w:line="440" w:lineRule="exact"/>
              <w:jc w:val="center"/>
              <w:rPr>
                <w:rFonts w:ascii="Times New Roman" w:eastAsia="方正黑体_GBK" w:cs="Times New Roman"/>
                <w:bCs/>
                <w:szCs w:val="28"/>
              </w:rPr>
            </w:pPr>
            <w:r>
              <w:rPr>
                <w:rFonts w:ascii="Times New Roman" w:eastAsia="方正黑体_GBK" w:cs="Times New Roman"/>
                <w:bCs/>
                <w:szCs w:val="28"/>
              </w:rPr>
              <w:t>专栏7-3：冷链物流体系建设重点</w:t>
            </w:r>
          </w:p>
          <w:p>
            <w:pPr>
              <w:spacing w:line="440" w:lineRule="exact"/>
              <w:ind w:firstLine="481" w:firstLineChars="200"/>
              <w:jc w:val="left"/>
              <w:rPr>
                <w:rFonts w:eastAsia="方正仿宋_GBK"/>
                <w:color w:val="000000"/>
                <w:sz w:val="24"/>
              </w:rPr>
            </w:pPr>
            <w:r>
              <w:rPr>
                <w:rFonts w:eastAsia="方正仿宋_GBK"/>
                <w:b/>
                <w:color w:val="000000"/>
                <w:sz w:val="24"/>
              </w:rPr>
              <w:t>冷链物流节点</w:t>
            </w:r>
            <w:r>
              <w:rPr>
                <w:rFonts w:eastAsia="方正仿宋_GBK"/>
                <w:color w:val="000000"/>
                <w:sz w:val="24"/>
              </w:rPr>
              <w:t>。黔江武陵山机场冻库。</w:t>
            </w:r>
          </w:p>
          <w:p>
            <w:pPr>
              <w:spacing w:line="440" w:lineRule="exact"/>
              <w:ind w:firstLine="481" w:firstLineChars="200"/>
              <w:jc w:val="left"/>
              <w:rPr>
                <w:rFonts w:eastAsia="方正仿宋_GBK"/>
                <w:bCs/>
                <w:color w:val="000000"/>
                <w:sz w:val="24"/>
              </w:rPr>
            </w:pPr>
            <w:r>
              <w:rPr>
                <w:rFonts w:eastAsia="方正仿宋_GBK"/>
                <w:b/>
                <w:color w:val="000000"/>
                <w:sz w:val="24"/>
              </w:rPr>
              <w:t>冷链物流设施</w:t>
            </w:r>
            <w:r>
              <w:rPr>
                <w:rFonts w:eastAsia="方正仿宋_GBK"/>
                <w:bCs/>
                <w:color w:val="000000"/>
                <w:sz w:val="24"/>
              </w:rPr>
              <w:t>。标准化车载冷藏箱、低温周转箱、冷藏快递储存箱。</w:t>
            </w:r>
          </w:p>
          <w:p>
            <w:pPr>
              <w:spacing w:line="440" w:lineRule="exact"/>
              <w:ind w:firstLine="481" w:firstLineChars="200"/>
              <w:jc w:val="left"/>
              <w:rPr>
                <w:rFonts w:eastAsia="方正仿宋_GBK"/>
                <w:bCs/>
                <w:color w:val="000000"/>
                <w:sz w:val="24"/>
              </w:rPr>
            </w:pPr>
            <w:r>
              <w:rPr>
                <w:rFonts w:eastAsia="方正仿宋_GBK"/>
                <w:b/>
                <w:color w:val="000000"/>
                <w:sz w:val="24"/>
              </w:rPr>
              <w:t>冷链物流新模式</w:t>
            </w:r>
            <w:r>
              <w:rPr>
                <w:rFonts w:eastAsia="方正仿宋_GBK"/>
                <w:bCs/>
                <w:color w:val="000000"/>
                <w:sz w:val="24"/>
              </w:rPr>
              <w:t>。“生鲜电商+冷链宅配”“中央厨房+食材冷链配送”“社区家庭厨房”。</w:t>
            </w:r>
          </w:p>
        </w:tc>
      </w:tr>
    </w:tbl>
    <w:p>
      <w:pPr>
        <w:widowControl/>
        <w:spacing w:line="580" w:lineRule="exact"/>
        <w:ind w:firstLine="640" w:firstLineChars="200"/>
        <w:outlineLvl w:val="1"/>
        <w:rPr>
          <w:rFonts w:eastAsia="方正楷体_GBK"/>
          <w:color w:val="000000"/>
          <w:sz w:val="32"/>
          <w:szCs w:val="22"/>
        </w:rPr>
      </w:pPr>
      <w:bookmarkStart w:id="128" w:name="_Toc28442"/>
      <w:bookmarkStart w:id="129" w:name="_Toc25807"/>
      <w:bookmarkStart w:id="130" w:name="_Toc14279"/>
      <w:bookmarkStart w:id="131" w:name="_Toc353"/>
      <w:bookmarkStart w:id="132" w:name="_Toc7826"/>
      <w:r>
        <w:rPr>
          <w:rFonts w:eastAsia="方正楷体_GBK"/>
          <w:color w:val="000000"/>
          <w:sz w:val="32"/>
          <w:szCs w:val="22"/>
        </w:rPr>
        <w:t>（四）构建供应链物流体系</w:t>
      </w:r>
      <w:bookmarkEnd w:id="128"/>
    </w:p>
    <w:p>
      <w:pPr>
        <w:spacing w:line="580" w:lineRule="exact"/>
        <w:ind w:firstLine="640" w:firstLineChars="200"/>
        <w:rPr>
          <w:rFonts w:eastAsia="方正仿宋_GBK"/>
          <w:bCs/>
          <w:color w:val="000000"/>
          <w:sz w:val="32"/>
          <w:szCs w:val="22"/>
        </w:rPr>
      </w:pPr>
      <w:r>
        <w:rPr>
          <w:rFonts w:eastAsia="方正仿宋_GBK"/>
          <w:bCs/>
          <w:color w:val="000000"/>
          <w:sz w:val="32"/>
          <w:szCs w:val="22"/>
        </w:rPr>
        <w:t>依托茧丝绸、玻璃纤维、生物医药、农副产品加工等产业基础，大力发展供应链物流，提供从生产、采购、仓储、运输、销售等服务，完善从原辅料到产品的物流管理体系，构建供应商、中间商、</w:t>
      </w:r>
      <w:r>
        <w:rPr>
          <w:rFonts w:eastAsia="方正仿宋_GBK"/>
          <w:bCs/>
          <w:color w:val="000000"/>
          <w:sz w:val="32"/>
          <w:szCs w:val="22"/>
        </w:rPr>
        <w:fldChar w:fldCharType="begin"/>
      </w:r>
      <w:r>
        <w:rPr>
          <w:rFonts w:eastAsia="方正仿宋_GBK"/>
          <w:bCs/>
          <w:color w:val="000000"/>
          <w:sz w:val="32"/>
          <w:szCs w:val="22"/>
        </w:rPr>
        <w:instrText xml:space="preserve">HYPERLINK "https://baike.baidu.com/item/%E7%AC%AC%E4%B8%89%E6%96%B9%E6%9C%8D%E5%8A%A1/9690361"</w:instrText>
      </w:r>
      <w:r>
        <w:rPr>
          <w:rFonts w:eastAsia="方正仿宋_GBK"/>
          <w:bCs/>
          <w:color w:val="000000"/>
          <w:sz w:val="32"/>
          <w:szCs w:val="22"/>
        </w:rPr>
        <w:fldChar w:fldCharType="separate"/>
      </w:r>
      <w:r>
        <w:rPr>
          <w:rFonts w:eastAsia="方正仿宋_GBK"/>
          <w:bCs/>
          <w:color w:val="000000"/>
          <w:sz w:val="32"/>
          <w:szCs w:val="22"/>
        </w:rPr>
        <w:t>第三方服务</w:t>
      </w:r>
      <w:r>
        <w:rPr>
          <w:rFonts w:eastAsia="方正仿宋_GBK"/>
          <w:bCs/>
          <w:color w:val="000000"/>
          <w:sz w:val="32"/>
          <w:szCs w:val="22"/>
        </w:rPr>
        <w:fldChar w:fldCharType="end"/>
      </w:r>
      <w:r>
        <w:rPr>
          <w:rFonts w:eastAsia="方正仿宋_GBK"/>
          <w:bCs/>
          <w:color w:val="000000"/>
          <w:sz w:val="32"/>
          <w:szCs w:val="22"/>
        </w:rPr>
        <w:t>供应商和客户间高效的物流服务关系，以供应链物流服务于制造业全产业链延伸发展，提升流通体系对制造业供应链的支撑和保障能力，全面提升供应链的稳定性。推动大数据、云计算、区块链、人工智能等新一代信息技术与供应链融合，建设具有供应链协同效应的公共型平台，提供上下游用户的生产、采购、仓储、运输、销售等服务，实现相关方信息数据正向可追踪、逆向可溯源、横向可对比，发挥供应链对优化生产、加快周转、精准销售、品质控制、决策管理等作用。着力提升供应链单元化水平，形成以采购物流、生产物流、销售物流和逆向物流四个环节组成的标准化智慧化供应链物流系统。</w:t>
      </w:r>
    </w:p>
    <w:p>
      <w:pPr>
        <w:widowControl/>
        <w:spacing w:line="580" w:lineRule="exact"/>
        <w:ind w:firstLine="640" w:firstLineChars="200"/>
        <w:outlineLvl w:val="1"/>
        <w:rPr>
          <w:rFonts w:eastAsia="方正楷体_GBK"/>
          <w:color w:val="000000"/>
          <w:sz w:val="32"/>
          <w:szCs w:val="22"/>
        </w:rPr>
      </w:pPr>
      <w:bookmarkStart w:id="133" w:name="_Toc27007"/>
      <w:r>
        <w:rPr>
          <w:rFonts w:eastAsia="方正楷体_GBK"/>
          <w:color w:val="000000"/>
          <w:sz w:val="32"/>
          <w:szCs w:val="22"/>
        </w:rPr>
        <w:t>（五）大力发展智慧物流</w:t>
      </w:r>
      <w:bookmarkEnd w:id="133"/>
    </w:p>
    <w:p>
      <w:pPr>
        <w:spacing w:line="580" w:lineRule="exact"/>
        <w:ind w:firstLine="640" w:firstLineChars="200"/>
        <w:rPr>
          <w:rFonts w:eastAsia="方正仿宋_GBK"/>
          <w:bCs/>
          <w:color w:val="000000"/>
          <w:sz w:val="32"/>
          <w:szCs w:val="22"/>
        </w:rPr>
      </w:pPr>
      <w:r>
        <w:rPr>
          <w:rFonts w:eastAsia="方正仿宋_GBK"/>
          <w:bCs/>
          <w:color w:val="000000"/>
          <w:sz w:val="32"/>
          <w:szCs w:val="22"/>
        </w:rPr>
        <w:t>推动公共物流信息平台建设，推进云计算、大数据、物联网、5G、区块链等技术在物流、商贸等领域应用，加快云（云计算）、网（宽带网）、端（各种终端）等智能物流基础设施建设，夯实“互联网+”高效物流发展的信息基础，提升物流园区、仓储配送中心、末端配送站点信息化、智能化水平。加快发展“互联网+”高效物流，推进机械化、智能化立体仓库建设，推广应用智能化物流装备，鼓励RFID等技术在医药、冷链、口岸通关等领域集成应用，提升仓储、运输、配送、分拨、分拣、包装等作业效率。完善国际贸易“单一窗口”功能，积极建设智慧口岸。支持建设社会物流平台，发展车货匹配、运力优化、仓储交易、供应链等一体化、智能化综合物流服务。探索发展与生产制造、商贸流通、信贷金融等产业协调联动的智慧物流生态体系。</w:t>
      </w:r>
    </w:p>
    <w:p>
      <w:pPr>
        <w:widowControl/>
        <w:spacing w:line="580" w:lineRule="exact"/>
        <w:ind w:firstLine="640" w:firstLineChars="200"/>
        <w:outlineLvl w:val="1"/>
        <w:rPr>
          <w:rFonts w:eastAsia="方正楷体_GBK"/>
          <w:color w:val="000000"/>
          <w:sz w:val="32"/>
          <w:szCs w:val="22"/>
        </w:rPr>
      </w:pPr>
      <w:bookmarkStart w:id="134" w:name="_Toc681"/>
      <w:r>
        <w:rPr>
          <w:rFonts w:eastAsia="方正楷体_GBK"/>
          <w:color w:val="000000"/>
          <w:sz w:val="32"/>
          <w:szCs w:val="22"/>
        </w:rPr>
        <w:t>（六）积极发展绿色物流</w:t>
      </w:r>
      <w:bookmarkEnd w:id="134"/>
    </w:p>
    <w:p>
      <w:pPr>
        <w:spacing w:line="580" w:lineRule="exact"/>
        <w:ind w:firstLine="640" w:firstLineChars="200"/>
        <w:rPr>
          <w:rFonts w:eastAsia="方正仿宋_GBK"/>
          <w:bCs/>
          <w:color w:val="000000"/>
          <w:sz w:val="32"/>
          <w:szCs w:val="22"/>
        </w:rPr>
      </w:pPr>
      <w:r>
        <w:rPr>
          <w:rFonts w:eastAsia="方正仿宋_GBK"/>
          <w:bCs/>
          <w:color w:val="000000"/>
          <w:sz w:val="32"/>
          <w:szCs w:val="22"/>
        </w:rPr>
        <w:t>大力倡导绿色制造，积极推行绿色流通，倡导绿色消费理念，培育绿色消费市场。强化供应链绿色监管，贯彻执行运输、装卸、仓储等环节绿色标准，推动形成绿色物流供应链系统。优化调整物流运输结构，加快推进大宗货物多式联运发展。优化物流运输组织，大力发展甩挂运输、共同配送、统一配送等先进物流组织模式。鼓励应用新能源运输配送车辆，推广应用LNG、CNG等清洁能源运输装备和装卸设施。推动物流企业建立绿色节能低碳运营管理流程和机制，加快淘汰落后产能设备。推动绿色仓储建设，采用绿色仓储技术和节能装备，推广可循环利用、可降解的绿色包装材料，鼓励包装材料重复使用与回收利用，推广托盘等标准化器具循环利用。推进LED、太阳能等节能技术在航空口岸、铁路口岸、物流园区中的使用，促进节能减排。</w:t>
      </w:r>
    </w:p>
    <w:bookmarkEnd w:id="129"/>
    <w:bookmarkEnd w:id="130"/>
    <w:bookmarkEnd w:id="131"/>
    <w:bookmarkEnd w:id="132"/>
    <w:p>
      <w:pPr>
        <w:spacing w:line="580" w:lineRule="exact"/>
        <w:outlineLvl w:val="0"/>
        <w:rPr>
          <w:rFonts w:eastAsia="方正仿宋_GBK"/>
          <w:bCs/>
          <w:color w:val="000000"/>
          <w:sz w:val="32"/>
          <w:szCs w:val="22"/>
        </w:rPr>
        <w:sectPr>
          <w:pgSz w:w="11906" w:h="16838" w:orient="landscape"/>
          <w:pgMar w:top="2098" w:right="1531" w:bottom="1984" w:left="1531" w:header="1418" w:footer="1304" w:gutter="0"/>
          <w:cols w:space="720" w:num="1"/>
          <w:docGrid w:linePitch="312" w:charSpace="0"/>
        </w:sectPr>
      </w:pPr>
      <w:bookmarkStart w:id="135" w:name="_Toc26941"/>
      <w:bookmarkStart w:id="136" w:name="_Toc28808"/>
      <w:bookmarkStart w:id="137" w:name="_Toc31445"/>
      <w:bookmarkStart w:id="138" w:name="_Toc14739"/>
    </w:p>
    <w:p>
      <w:pPr>
        <w:spacing w:line="580" w:lineRule="exact"/>
        <w:outlineLvl w:val="0"/>
        <w:rPr>
          <w:rFonts w:eastAsia="方正黑体_GBK"/>
          <w:color w:val="000000"/>
          <w:sz w:val="32"/>
          <w:szCs w:val="22"/>
        </w:rPr>
      </w:pPr>
      <w:bookmarkStart w:id="139" w:name="_Toc30290"/>
      <w:r>
        <w:rPr>
          <w:rFonts w:eastAsia="方正黑体_GBK"/>
          <w:color w:val="000000"/>
          <w:sz w:val="32"/>
          <w:szCs w:val="22"/>
        </w:rPr>
        <w:t>八、加快推进电子商务发展，建设全国电子商务强区</w:t>
      </w:r>
      <w:bookmarkEnd w:id="135"/>
      <w:bookmarkEnd w:id="136"/>
      <w:bookmarkEnd w:id="137"/>
      <w:bookmarkEnd w:id="138"/>
      <w:bookmarkEnd w:id="139"/>
    </w:p>
    <w:p>
      <w:pPr>
        <w:spacing w:line="580" w:lineRule="exact"/>
        <w:ind w:firstLine="640" w:firstLineChars="200"/>
        <w:rPr>
          <w:rFonts w:eastAsia="方正仿宋_GBK"/>
          <w:bCs/>
          <w:color w:val="000000"/>
          <w:sz w:val="32"/>
          <w:szCs w:val="22"/>
        </w:rPr>
      </w:pPr>
      <w:bookmarkStart w:id="140" w:name="_Toc18304"/>
      <w:bookmarkStart w:id="141" w:name="_Toc9928"/>
      <w:bookmarkStart w:id="142" w:name="_Toc17567"/>
      <w:r>
        <w:rPr>
          <w:rFonts w:eastAsia="方正仿宋_GBK"/>
          <w:bCs/>
          <w:color w:val="000000"/>
          <w:sz w:val="32"/>
          <w:szCs w:val="22"/>
        </w:rPr>
        <w:t>大力发展电子商务产业，积极培育电商经营主体和电商公共品牌，持续升级电子商务进农村综合示范，加快发展跨境电子商务，激发电子商务创新创业活力，推动传统商贸服务业线上线下融合发展，把电子商务培育成为经济增长的新动力。</w:t>
      </w:r>
    </w:p>
    <w:p>
      <w:pPr>
        <w:widowControl/>
        <w:spacing w:line="580" w:lineRule="exact"/>
        <w:ind w:firstLine="640" w:firstLineChars="200"/>
        <w:outlineLvl w:val="1"/>
        <w:rPr>
          <w:rFonts w:eastAsia="方正楷体_GBK"/>
          <w:color w:val="000000"/>
          <w:sz w:val="32"/>
          <w:szCs w:val="22"/>
        </w:rPr>
      </w:pPr>
      <w:bookmarkStart w:id="143" w:name="_Toc5457"/>
      <w:r>
        <w:rPr>
          <w:rFonts w:eastAsia="方正楷体_GBK"/>
          <w:color w:val="000000"/>
          <w:sz w:val="32"/>
          <w:szCs w:val="22"/>
        </w:rPr>
        <w:t>（一）推进电子商务加快发展</w:t>
      </w:r>
      <w:bookmarkEnd w:id="143"/>
    </w:p>
    <w:p>
      <w:pPr>
        <w:spacing w:line="580" w:lineRule="exact"/>
        <w:ind w:firstLine="642" w:firstLineChars="200"/>
        <w:rPr>
          <w:rFonts w:eastAsia="方正仿宋_GBK"/>
          <w:bCs/>
          <w:color w:val="000000"/>
          <w:sz w:val="32"/>
          <w:szCs w:val="22"/>
        </w:rPr>
      </w:pPr>
      <w:r>
        <w:rPr>
          <w:rFonts w:eastAsia="方正仿宋_GBK"/>
          <w:b/>
          <w:color w:val="000000"/>
          <w:sz w:val="32"/>
          <w:szCs w:val="22"/>
        </w:rPr>
        <w:t>推动电商服务平台建设</w:t>
      </w:r>
      <w:r>
        <w:rPr>
          <w:rFonts w:eastAsia="方正仿宋_GBK"/>
          <w:bCs/>
          <w:color w:val="000000"/>
          <w:sz w:val="32"/>
          <w:szCs w:val="22"/>
        </w:rPr>
        <w:t>。推动渝东南电商产业园扩容升级，</w:t>
      </w:r>
      <w:r>
        <w:rPr>
          <w:rFonts w:hint="eastAsia" w:eastAsia="方正仿宋_GBK"/>
          <w:bCs/>
          <w:color w:val="000000"/>
          <w:sz w:val="32"/>
          <w:szCs w:val="32"/>
        </w:rPr>
        <w:t>积极建设</w:t>
      </w:r>
      <w:r>
        <w:rPr>
          <w:rFonts w:eastAsia="方正仿宋_GBK"/>
          <w:bCs/>
          <w:color w:val="000000"/>
          <w:sz w:val="32"/>
          <w:szCs w:val="32"/>
        </w:rPr>
        <w:t>仓储物流配送中心、网销产品研供中心</w:t>
      </w:r>
      <w:r>
        <w:rPr>
          <w:rFonts w:hint="eastAsia" w:eastAsia="方正仿宋_GBK"/>
          <w:bCs/>
          <w:color w:val="000000"/>
          <w:sz w:val="32"/>
          <w:szCs w:val="32"/>
        </w:rPr>
        <w:t>、</w:t>
      </w:r>
      <w:r>
        <w:rPr>
          <w:rFonts w:eastAsia="方正仿宋_GBK"/>
          <w:bCs/>
          <w:color w:val="000000"/>
          <w:sz w:val="32"/>
          <w:szCs w:val="32"/>
        </w:rPr>
        <w:t>电商企业孵化中心</w:t>
      </w:r>
      <w:r>
        <w:rPr>
          <w:rFonts w:hint="eastAsia" w:eastAsia="方正仿宋_GBK"/>
          <w:bCs/>
          <w:color w:val="000000"/>
          <w:sz w:val="32"/>
          <w:szCs w:val="32"/>
        </w:rPr>
        <w:t>等电子商务</w:t>
      </w:r>
      <w:r>
        <w:rPr>
          <w:rFonts w:eastAsia="方正仿宋_GBK"/>
          <w:bCs/>
          <w:color w:val="000000"/>
          <w:sz w:val="32"/>
          <w:szCs w:val="32"/>
        </w:rPr>
        <w:t>公共服务平台，完善创业孵化、电商培训、仓储物流、供应链管理、商品展示等配套功能。加大电商平台扶持力度，培育打造垂直平台、特色平台、区域平台，积极引进国内外社交电商、社区团购、新零售等新兴领域和高成长性电商平台。</w:t>
      </w:r>
      <w:r>
        <w:rPr>
          <w:rFonts w:eastAsia="方正仿宋_GBK"/>
          <w:color w:val="000000"/>
          <w:kern w:val="0"/>
          <w:sz w:val="31"/>
          <w:szCs w:val="31"/>
          <w:lang w:bidi="ar"/>
        </w:rPr>
        <w:t>积极培育品牌农产品社区连锁店，设立公用品牌电商体验店、专卖店、品牌专柜。</w:t>
      </w:r>
      <w:r>
        <w:rPr>
          <w:rFonts w:eastAsia="方正仿宋_GBK"/>
          <w:bCs/>
          <w:color w:val="000000"/>
          <w:sz w:val="32"/>
          <w:szCs w:val="32"/>
        </w:rPr>
        <w:t>推动电商公共服务中心与市、区两级主流媒体加强营销宣传合作，提升“山韵黔江”区域公共服务品牌知名度，拓展“山韵黔江”业务范围和网客货源，打造国内知名的以农产品销售为特色的电商平台。</w:t>
      </w:r>
      <w:r>
        <w:rPr>
          <w:rFonts w:eastAsia="方正仿宋_GBK"/>
          <w:bCs/>
          <w:color w:val="000000"/>
          <w:sz w:val="32"/>
          <w:szCs w:val="22"/>
        </w:rPr>
        <w:t>加快建设智慧商务大数据平台，强化电子商务信息整合，探索对接电子商务龙头企业数据资源，建设电子商务运行监测平台。整合政府部门及企事业单位信息资源，建设电子商务市场主体、客体信息库和共享服务平台，推进电子商务信用信息公示。</w:t>
      </w:r>
    </w:p>
    <w:p>
      <w:pPr>
        <w:spacing w:line="580" w:lineRule="exact"/>
        <w:ind w:firstLine="642" w:firstLineChars="200"/>
        <w:rPr>
          <w:color w:val="000000"/>
        </w:rPr>
      </w:pPr>
      <w:r>
        <w:rPr>
          <w:rFonts w:eastAsia="方正仿宋_GBK"/>
          <w:b/>
          <w:color w:val="000000"/>
          <w:sz w:val="32"/>
          <w:szCs w:val="22"/>
        </w:rPr>
        <w:t>着力培育电商特色品牌</w:t>
      </w:r>
      <w:r>
        <w:rPr>
          <w:rFonts w:eastAsia="方正仿宋_GBK"/>
          <w:bCs/>
          <w:color w:val="000000"/>
          <w:sz w:val="32"/>
          <w:szCs w:val="22"/>
        </w:rPr>
        <w:t>。加强网络消费品工业生产，围绕网络消费特点，深度挖掘黔江消费品工业的潜力和优势，拓展特色农副产品、丝绸服装、消费工业品和传统工艺产品等网络销售渠道，着力打造一批品质电商品牌。依托本地特色产业优势，</w:t>
      </w:r>
      <w:r>
        <w:rPr>
          <w:rFonts w:eastAsia="方正仿宋_GBK"/>
          <w:color w:val="000000"/>
          <w:kern w:val="0"/>
          <w:sz w:val="31"/>
          <w:szCs w:val="31"/>
          <w:lang w:bidi="ar"/>
        </w:rPr>
        <w:t>重点围绕“黔江鸡杂”等加工食品及猕猴桃、脆红李、羊肚菌、高山生态蔬菜等特色农产品推进电商品牌建设，</w:t>
      </w:r>
      <w:r>
        <w:rPr>
          <w:rFonts w:eastAsia="方正仿宋_GBK"/>
          <w:bCs/>
          <w:color w:val="000000"/>
          <w:sz w:val="32"/>
          <w:szCs w:val="22"/>
        </w:rPr>
        <w:t>做大做强</w:t>
      </w:r>
      <w:r>
        <w:rPr>
          <w:rFonts w:eastAsia="方正仿宋_GBK"/>
          <w:color w:val="000000"/>
          <w:sz w:val="32"/>
          <w:szCs w:val="32"/>
        </w:rPr>
        <w:t>“山韵黔江”等知名电商品牌，积极举办6·18电商文化节、“双11”等</w:t>
      </w:r>
      <w:r>
        <w:rPr>
          <w:rFonts w:eastAsia="方正仿宋_GBK"/>
          <w:bCs/>
          <w:color w:val="000000"/>
          <w:sz w:val="32"/>
          <w:szCs w:val="22"/>
        </w:rPr>
        <w:t>电商节会活动。实施农村电子商务品牌培育“1520工程”，在全区范围内梳理出1个网货大品类“拳头”产品、5个中品类和20个小品类产品，分类进行产业培育和品牌推广。</w:t>
      </w:r>
      <w:r>
        <w:rPr>
          <w:rFonts w:eastAsia="方正仿宋_GBK"/>
          <w:color w:val="000000"/>
          <w:sz w:val="32"/>
          <w:szCs w:val="32"/>
        </w:rPr>
        <w:t>推动“</w:t>
      </w:r>
      <w:r>
        <w:rPr>
          <w:rFonts w:hint="eastAsia" w:eastAsia="方正仿宋_GBK"/>
          <w:color w:val="000000"/>
          <w:sz w:val="32"/>
          <w:szCs w:val="32"/>
        </w:rPr>
        <w:t>两</w:t>
      </w:r>
      <w:r>
        <w:rPr>
          <w:rFonts w:eastAsia="方正仿宋_GBK"/>
          <w:color w:val="000000"/>
          <w:sz w:val="32"/>
          <w:szCs w:val="32"/>
        </w:rPr>
        <w:t>品一标”农产品品牌建设，加大优质、生态、绿色和特色农产品安全供给力度。</w:t>
      </w:r>
    </w:p>
    <w:p>
      <w:pPr>
        <w:spacing w:line="580" w:lineRule="exact"/>
        <w:ind w:firstLine="642" w:firstLineChars="200"/>
        <w:rPr>
          <w:rFonts w:eastAsia="方正仿宋_GBK"/>
          <w:color w:val="000000"/>
        </w:rPr>
      </w:pPr>
      <w:r>
        <w:rPr>
          <w:rFonts w:eastAsia="方正仿宋_GBK"/>
          <w:b/>
          <w:color w:val="000000"/>
          <w:sz w:val="32"/>
          <w:szCs w:val="22"/>
        </w:rPr>
        <w:t>提升电子商务服务能力</w:t>
      </w:r>
      <w:r>
        <w:rPr>
          <w:rFonts w:eastAsia="方正仿宋_GBK"/>
          <w:bCs/>
          <w:color w:val="000000"/>
          <w:sz w:val="32"/>
          <w:szCs w:val="22"/>
        </w:rPr>
        <w:t>。开展“黔江造·网上销”“黔江产品触网行动”等活动，推动工业消费品、特色农产品触网营销，支持自建平台或通过第三方平台拓展网络营销渠道。打造线下网货定制生产基地，围绕蚕桑纺织、烟草生产、食品加工等重点产业，推广大数据智能化应用，依托电子商务消费大数据以销定产，以新零售带动新制造。</w:t>
      </w:r>
      <w:r>
        <w:rPr>
          <w:rFonts w:eastAsia="方正仿宋_GBK"/>
          <w:color w:val="000000"/>
          <w:sz w:val="32"/>
          <w:szCs w:val="32"/>
        </w:rPr>
        <w:t>通过贷款贴息、以奖代补等方式，积极培育限额以上电商企业，加快推进本地优秀电商企业上市融资。大力培育电商经营主体，依托</w:t>
      </w:r>
      <w:r>
        <w:rPr>
          <w:rFonts w:eastAsia="方正仿宋_GBK"/>
          <w:bCs/>
          <w:color w:val="000000"/>
          <w:sz w:val="32"/>
          <w:szCs w:val="22"/>
        </w:rPr>
        <w:t>渝东南电商产业园</w:t>
      </w:r>
      <w:r>
        <w:rPr>
          <w:rFonts w:eastAsia="方正仿宋_GBK"/>
          <w:color w:val="000000"/>
          <w:sz w:val="32"/>
          <w:szCs w:val="32"/>
        </w:rPr>
        <w:t>，</w:t>
      </w:r>
      <w:r>
        <w:rPr>
          <w:rFonts w:hint="eastAsia" w:eastAsia="方正仿宋_GBK"/>
          <w:color w:val="000000"/>
          <w:sz w:val="32"/>
          <w:szCs w:val="32"/>
        </w:rPr>
        <w:t>引进</w:t>
      </w:r>
      <w:r>
        <w:rPr>
          <w:rFonts w:eastAsia="方正仿宋_GBK"/>
          <w:bCs/>
          <w:color w:val="000000"/>
          <w:sz w:val="32"/>
          <w:szCs w:val="22"/>
        </w:rPr>
        <w:t>培育</w:t>
      </w:r>
      <w:r>
        <w:rPr>
          <w:rFonts w:hint="eastAsia" w:eastAsia="方正仿宋_GBK"/>
          <w:bCs/>
          <w:color w:val="000000"/>
          <w:sz w:val="32"/>
          <w:szCs w:val="22"/>
        </w:rPr>
        <w:t>一批</w:t>
      </w:r>
      <w:r>
        <w:rPr>
          <w:rFonts w:eastAsia="方正仿宋_GBK"/>
          <w:bCs/>
          <w:color w:val="000000"/>
          <w:sz w:val="32"/>
          <w:szCs w:val="22"/>
        </w:rPr>
        <w:t>本地电子商务平台和龙头企业，</w:t>
      </w:r>
      <w:r>
        <w:rPr>
          <w:rFonts w:eastAsia="方正仿宋_GBK"/>
          <w:color w:val="000000"/>
          <w:sz w:val="32"/>
          <w:szCs w:val="32"/>
        </w:rPr>
        <w:t>鼓励电商集聚发展。</w:t>
      </w:r>
      <w:r>
        <w:rPr>
          <w:rFonts w:eastAsia="方正仿宋_GBK"/>
          <w:bCs/>
          <w:color w:val="000000"/>
          <w:sz w:val="32"/>
          <w:szCs w:val="22"/>
        </w:rPr>
        <w:t>推动建设区域性分拨中心，引进邮政等大型电商物流企业在黔江设立渝东南区域总部或区域业务分部，建设区域营运中心、物流中心、结算中心。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noWrap w:val="0"/>
            <w:vAlign w:val="top"/>
          </w:tcPr>
          <w:p>
            <w:pPr>
              <w:pStyle w:val="148"/>
              <w:spacing w:line="440" w:lineRule="exact"/>
              <w:jc w:val="center"/>
              <w:rPr>
                <w:rFonts w:ascii="Times New Roman" w:eastAsia="方正黑体_GBK" w:cs="Times New Roman"/>
                <w:bCs/>
                <w:szCs w:val="28"/>
              </w:rPr>
            </w:pPr>
            <w:r>
              <w:rPr>
                <w:rFonts w:ascii="Times New Roman" w:eastAsia="方正黑体_GBK" w:cs="Times New Roman"/>
                <w:bCs/>
                <w:szCs w:val="28"/>
              </w:rPr>
              <w:t>专栏8-1：电子商务发展重点任务</w:t>
            </w:r>
          </w:p>
          <w:p>
            <w:pPr>
              <w:pStyle w:val="148"/>
              <w:spacing w:line="440" w:lineRule="exact"/>
              <w:ind w:firstLine="481" w:firstLineChars="200"/>
              <w:rPr>
                <w:rFonts w:ascii="Times New Roman" w:eastAsia="方正仿宋_GBK" w:cs="Times New Roman"/>
                <w:b/>
              </w:rPr>
            </w:pPr>
            <w:r>
              <w:rPr>
                <w:rFonts w:ascii="Times New Roman" w:eastAsia="方正仿宋_GBK" w:cs="Times New Roman"/>
                <w:b/>
              </w:rPr>
              <w:t>电商服务平台</w:t>
            </w:r>
            <w:r>
              <w:rPr>
                <w:rFonts w:ascii="Times New Roman" w:eastAsia="方正仿宋_GBK" w:cs="Times New Roman"/>
                <w:bCs/>
              </w:rPr>
              <w:t>。黔江渝东南武陵山智慧电商物流产业园</w:t>
            </w:r>
            <w:r>
              <w:rPr>
                <w:rFonts w:hint="eastAsia" w:ascii="Times New Roman" w:eastAsia="方正仿宋_GBK" w:cs="Times New Roman"/>
                <w:bCs/>
              </w:rPr>
              <w:t>，</w:t>
            </w:r>
            <w:r>
              <w:rPr>
                <w:rFonts w:ascii="Times New Roman" w:eastAsia="方正仿宋_GBK" w:cs="Times New Roman"/>
                <w:bCs/>
              </w:rPr>
              <w:t>特色农副产品电商销售平台</w:t>
            </w:r>
            <w:r>
              <w:rPr>
                <w:rFonts w:hint="eastAsia" w:ascii="Times New Roman" w:eastAsia="方正仿宋_GBK" w:cs="Times New Roman"/>
                <w:bCs/>
              </w:rPr>
              <w:t>、</w:t>
            </w:r>
            <w:r>
              <w:rPr>
                <w:rFonts w:ascii="Times New Roman" w:eastAsia="方正仿宋_GBK" w:cs="Times New Roman"/>
                <w:bCs/>
              </w:rPr>
              <w:t>智慧商务大数据平台、电子商务运行监测平台、电子商务信息共享服务平台</w:t>
            </w:r>
            <w:r>
              <w:rPr>
                <w:rFonts w:hint="eastAsia" w:ascii="Times New Roman" w:eastAsia="方正仿宋_GBK" w:cs="Times New Roman"/>
                <w:bCs/>
              </w:rPr>
              <w:t>和电商企业孵化中心</w:t>
            </w:r>
            <w:r>
              <w:rPr>
                <w:rFonts w:ascii="Times New Roman" w:eastAsia="方正仿宋_GBK" w:cs="Times New Roman"/>
                <w:bCs/>
              </w:rPr>
              <w:t>。</w:t>
            </w:r>
          </w:p>
          <w:p>
            <w:pPr>
              <w:pStyle w:val="148"/>
              <w:spacing w:line="440" w:lineRule="exact"/>
              <w:ind w:firstLine="481" w:firstLineChars="200"/>
              <w:rPr>
                <w:rFonts w:ascii="Times New Roman" w:eastAsia="方正仿宋_GBK" w:cs="Times New Roman"/>
                <w:bCs/>
              </w:rPr>
            </w:pPr>
            <w:r>
              <w:rPr>
                <w:rFonts w:ascii="Times New Roman" w:eastAsia="方正仿宋_GBK" w:cs="Times New Roman"/>
                <w:b/>
              </w:rPr>
              <w:t>电商产品品牌培育</w:t>
            </w:r>
            <w:r>
              <w:rPr>
                <w:rFonts w:ascii="Times New Roman" w:eastAsia="方正仿宋_GBK" w:cs="Times New Roman"/>
                <w:bCs/>
              </w:rPr>
              <w:t>。最具代表性的优质农特产品</w:t>
            </w:r>
            <w:r>
              <w:rPr>
                <w:rFonts w:hint="eastAsia" w:ascii="Times New Roman" w:eastAsia="方正仿宋_GBK" w:cs="Times New Roman"/>
                <w:bCs/>
              </w:rPr>
              <w:t>，</w:t>
            </w:r>
            <w:r>
              <w:rPr>
                <w:rFonts w:ascii="Times New Roman" w:eastAsia="方正仿宋_GBK" w:cs="Times New Roman"/>
                <w:bCs/>
              </w:rPr>
              <w:t>具有食品生产许可证或流通许可证的网销产品企业单品品牌。</w:t>
            </w:r>
          </w:p>
          <w:p>
            <w:pPr>
              <w:pStyle w:val="148"/>
              <w:spacing w:line="440" w:lineRule="exact"/>
              <w:ind w:firstLine="481" w:firstLineChars="200"/>
              <w:rPr>
                <w:rFonts w:ascii="Times New Roman" w:eastAsia="方正仿宋_GBK" w:cs="Times New Roman"/>
                <w:bCs/>
              </w:rPr>
            </w:pPr>
            <w:r>
              <w:rPr>
                <w:rFonts w:ascii="Times New Roman" w:eastAsia="方正仿宋_GBK" w:cs="Times New Roman"/>
                <w:b/>
              </w:rPr>
              <w:t>区域性分拨中心</w:t>
            </w:r>
            <w:r>
              <w:rPr>
                <w:rFonts w:ascii="Times New Roman" w:eastAsia="方正仿宋_GBK" w:cs="Times New Roman"/>
                <w:bCs/>
              </w:rPr>
              <w:t>。邮政渝东南区域分拨中心</w:t>
            </w:r>
            <w:r>
              <w:rPr>
                <w:rFonts w:hint="eastAsia" w:ascii="Times New Roman" w:eastAsia="方正仿宋_GBK" w:cs="Times New Roman"/>
                <w:bCs/>
              </w:rPr>
              <w:t>、</w:t>
            </w:r>
            <w:r>
              <w:rPr>
                <w:rFonts w:ascii="Times New Roman" w:eastAsia="方正仿宋_GBK" w:cs="Times New Roman"/>
                <w:bCs/>
              </w:rPr>
              <w:t>航空邮（快）件处理中心</w:t>
            </w:r>
            <w:r>
              <w:rPr>
                <w:rFonts w:hint="eastAsia" w:ascii="Times New Roman" w:eastAsia="方正仿宋_GBK" w:cs="Times New Roman"/>
                <w:bCs/>
              </w:rPr>
              <w:t>、</w:t>
            </w:r>
            <w:r>
              <w:rPr>
                <w:rFonts w:ascii="Times New Roman" w:eastAsia="方正仿宋_GBK" w:cs="Times New Roman"/>
                <w:bCs/>
              </w:rPr>
              <w:t>渝东南区域性生鲜产品集散仓。</w:t>
            </w:r>
          </w:p>
        </w:tc>
      </w:tr>
    </w:tbl>
    <w:p>
      <w:pPr>
        <w:spacing w:line="580" w:lineRule="exact"/>
        <w:ind w:firstLine="640" w:firstLineChars="200"/>
        <w:outlineLvl w:val="1"/>
        <w:rPr>
          <w:rFonts w:eastAsia="方正楷体_GBK"/>
          <w:color w:val="000000"/>
          <w:sz w:val="32"/>
          <w:szCs w:val="22"/>
        </w:rPr>
      </w:pPr>
      <w:bookmarkStart w:id="144" w:name="_Toc25618"/>
      <w:r>
        <w:rPr>
          <w:rFonts w:eastAsia="方正楷体_GBK"/>
          <w:color w:val="000000"/>
          <w:sz w:val="32"/>
          <w:szCs w:val="22"/>
        </w:rPr>
        <w:t>（二）打造农村电商“升级版”</w:t>
      </w:r>
      <w:bookmarkEnd w:id="144"/>
    </w:p>
    <w:p>
      <w:pPr>
        <w:spacing w:line="580" w:lineRule="exact"/>
        <w:ind w:firstLine="643"/>
        <w:rPr>
          <w:rFonts w:eastAsia="方正仿宋_GBK"/>
          <w:b/>
          <w:color w:val="000000"/>
          <w:sz w:val="32"/>
          <w:szCs w:val="22"/>
        </w:rPr>
      </w:pPr>
      <w:r>
        <w:rPr>
          <w:rFonts w:eastAsia="方正仿宋_GBK"/>
          <w:b/>
          <w:color w:val="000000"/>
          <w:sz w:val="32"/>
          <w:szCs w:val="32"/>
        </w:rPr>
        <w:t>完善农村电商服务体系</w:t>
      </w:r>
      <w:r>
        <w:rPr>
          <w:rFonts w:eastAsia="方正仿宋_GBK"/>
          <w:bCs/>
          <w:color w:val="000000"/>
          <w:sz w:val="32"/>
          <w:szCs w:val="32"/>
        </w:rPr>
        <w:t>。积极</w:t>
      </w:r>
      <w:r>
        <w:rPr>
          <w:rFonts w:eastAsia="方正仿宋_GBK"/>
          <w:color w:val="000000"/>
          <w:sz w:val="32"/>
          <w:szCs w:val="32"/>
        </w:rPr>
        <w:t>推进以国家级特色农产品产地专业市场和和田头市场为核心的农产品产地市场体系建设，加快黔江吉之汇国际农贸物流城建设。加快推进田头市场建设，启动建设生鲜、特色农特产品前置仓，推动区域性集散仓落地建设，提升智能网仓运营效能。加大物流、交通等资源整合力度，鼓励电商、物流企业积极发展智慧仓储。优化升级区级电子商务公共服务中心，推动乡镇、村级电子商务服务站升级改造示范点，建设农村电商社区O2O体验店，拓展代卖代买、电商就业创业咨询等功能。完善区镇村三级物流配送体系，</w:t>
      </w:r>
      <w:r>
        <w:rPr>
          <w:rFonts w:eastAsia="方正仿宋_GBK"/>
          <w:bCs/>
          <w:color w:val="000000"/>
          <w:sz w:val="32"/>
          <w:szCs w:val="32"/>
        </w:rPr>
        <w:t>打通农村物流双向流通渠道，提升农村电子商务公共服务能力</w:t>
      </w:r>
      <w:r>
        <w:rPr>
          <w:rFonts w:eastAsia="方正仿宋_GBK"/>
          <w:bCs/>
          <w:color w:val="000000"/>
          <w:sz w:val="32"/>
          <w:szCs w:val="22"/>
        </w:rPr>
        <w:t>。</w:t>
      </w:r>
      <w:r>
        <w:rPr>
          <w:rFonts w:eastAsia="方正仿宋_GBK"/>
          <w:color w:val="000000"/>
          <w:sz w:val="32"/>
          <w:szCs w:val="32"/>
        </w:rPr>
        <w:t>推动电商服务市场化运营，发展共同配送，赋能区域内电商快递、农村夫妻店供应商等，提升仓储、物流、配送等服务水平。</w:t>
      </w:r>
    </w:p>
    <w:p>
      <w:pPr>
        <w:spacing w:line="580" w:lineRule="exact"/>
        <w:ind w:firstLine="642" w:firstLineChars="200"/>
        <w:jc w:val="left"/>
        <w:rPr>
          <w:rFonts w:eastAsia="方正仿宋_GBK"/>
          <w:color w:val="000000"/>
          <w:sz w:val="32"/>
          <w:szCs w:val="32"/>
        </w:rPr>
      </w:pPr>
      <w:r>
        <w:rPr>
          <w:rFonts w:eastAsia="方正仿宋_GBK"/>
          <w:b/>
          <w:color w:val="000000"/>
          <w:sz w:val="32"/>
          <w:szCs w:val="22"/>
        </w:rPr>
        <w:t>大力推动农产品上行和工业品下行</w:t>
      </w:r>
      <w:r>
        <w:rPr>
          <w:rFonts w:eastAsia="方正仿宋_GBK"/>
          <w:bCs/>
          <w:color w:val="000000"/>
          <w:sz w:val="32"/>
          <w:szCs w:val="22"/>
        </w:rPr>
        <w:t>。</w:t>
      </w:r>
      <w:r>
        <w:rPr>
          <w:rFonts w:eastAsia="方正仿宋_GBK"/>
          <w:color w:val="000000"/>
          <w:sz w:val="32"/>
          <w:szCs w:val="32"/>
        </w:rPr>
        <w:t>健全农产品流通网络，</w:t>
      </w:r>
      <w:r>
        <w:rPr>
          <w:rFonts w:eastAsia="方正仿宋_GBK"/>
          <w:bCs/>
          <w:color w:val="000000"/>
          <w:sz w:val="32"/>
          <w:szCs w:val="22"/>
        </w:rPr>
        <w:t>推动“互联网+”农产品出村进城工程，</w:t>
      </w:r>
      <w:r>
        <w:rPr>
          <w:rFonts w:eastAsia="方正仿宋_GBK"/>
          <w:color w:val="000000"/>
          <w:sz w:val="32"/>
          <w:szCs w:val="32"/>
        </w:rPr>
        <w:t>重点培育网络畅销的拳头农产品品类，完善产供销全链条服务，</w:t>
      </w:r>
      <w:r>
        <w:rPr>
          <w:rFonts w:eastAsia="方正仿宋_GBK"/>
          <w:bCs/>
          <w:color w:val="000000"/>
          <w:sz w:val="32"/>
          <w:szCs w:val="22"/>
        </w:rPr>
        <w:t>探索“基地+城市社区”直配模式，</w:t>
      </w:r>
      <w:r>
        <w:rPr>
          <w:rFonts w:eastAsia="方正仿宋_GBK"/>
          <w:color w:val="000000"/>
          <w:sz w:val="32"/>
          <w:szCs w:val="32"/>
        </w:rPr>
        <w:t>建立网货服务体系，促进优质农产品网络销售。依托电商物流产业园，建设网销产品研供中心，支持企业开展农产品分拣、分级、加工、包装、预冷等商品化处理业务，提升农产品批发分销能力。</w:t>
      </w:r>
      <w:r>
        <w:rPr>
          <w:rFonts w:eastAsia="方正仿宋_GBK"/>
          <w:bCs/>
          <w:color w:val="000000"/>
          <w:sz w:val="32"/>
          <w:szCs w:val="32"/>
        </w:rPr>
        <w:t>积极推动工业品下行，依托农村电商配送体系，引导佳惠、永辉等大型流通企业、销售企业以乡镇为重点下沉供应链，开展集中采购、统一配送、直供直销等业务，建立“供应链企业+</w:t>
      </w:r>
      <w:r>
        <w:rPr>
          <w:rFonts w:eastAsia="方正仿宋_GBK"/>
          <w:color w:val="000000"/>
          <w:sz w:val="32"/>
          <w:szCs w:val="32"/>
        </w:rPr>
        <w:t>电子商务站点+农户”长期稳定的利益联结</w:t>
      </w:r>
      <w:r>
        <w:rPr>
          <w:rFonts w:eastAsia="方正仿宋_GBK"/>
          <w:bCs/>
          <w:color w:val="000000"/>
          <w:sz w:val="32"/>
          <w:szCs w:val="32"/>
        </w:rPr>
        <w:t>合</w:t>
      </w:r>
      <w:r>
        <w:rPr>
          <w:rFonts w:eastAsia="方正仿宋_GBK"/>
          <w:color w:val="000000"/>
          <w:sz w:val="32"/>
          <w:szCs w:val="32"/>
        </w:rPr>
        <w:t>作机制，丰富农村消费产品供给。</w:t>
      </w:r>
    </w:p>
    <w:p>
      <w:pPr>
        <w:spacing w:line="580" w:lineRule="exact"/>
        <w:ind w:firstLine="642" w:firstLineChars="200"/>
        <w:jc w:val="left"/>
        <w:rPr>
          <w:rFonts w:eastAsia="方正仿宋_GBK"/>
          <w:color w:val="000000"/>
          <w:sz w:val="32"/>
          <w:szCs w:val="32"/>
        </w:rPr>
      </w:pPr>
      <w:r>
        <w:rPr>
          <w:rFonts w:eastAsia="方正仿宋_GBK"/>
          <w:b/>
          <w:bCs/>
          <w:color w:val="000000"/>
          <w:sz w:val="32"/>
          <w:szCs w:val="32"/>
          <w:lang w:bidi="ar"/>
        </w:rPr>
        <w:t>创新</w:t>
      </w:r>
      <w:r>
        <w:rPr>
          <w:rFonts w:eastAsia="方正仿宋_GBK"/>
          <w:b/>
          <w:bCs/>
          <w:color w:val="000000"/>
          <w:sz w:val="32"/>
          <w:szCs w:val="32"/>
        </w:rPr>
        <w:t>电商新模式助力推动乡村振兴</w:t>
      </w:r>
      <w:r>
        <w:rPr>
          <w:rFonts w:eastAsia="方正仿宋_GBK"/>
          <w:color w:val="000000"/>
          <w:sz w:val="32"/>
          <w:szCs w:val="32"/>
        </w:rPr>
        <w:t>。以巩固拓展脱贫攻坚成果同乡村振兴有效衔接工作为导向，细化电商精准帮扶措施，加大对乡村振兴重点镇村农产品上行和产销对接的支持力度。培育和壮大新型农业经营主体，探索发展智慧农场、创意农业、乡村手工艺、定制服务等新业态。鼓励区内传统商贸、菜市场、农贸市场、住宿、餐饮、工业企业以及农村食品经营店等实体商业通过短视频、直播电商、社交营销发展“云逛街”等新模式。积极发展直播带货等农村电商新模式，加大农产品产地、基地直播带货、短视频运营等营销力度，倡导优质优价，带动农户增收，促进农特产品产得好、运得出、卖得好。</w:t>
      </w:r>
      <w:r>
        <w:rPr>
          <w:rFonts w:eastAsia="方正仿宋_GBK"/>
          <w:color w:val="000000"/>
          <w:kern w:val="0"/>
          <w:sz w:val="31"/>
          <w:szCs w:val="31"/>
          <w:lang w:bidi="ar"/>
        </w:rPr>
        <w:t>大力推广电子商务、直销配送、农超对接、专卖店等营销模式，</w:t>
      </w:r>
      <w:r>
        <w:rPr>
          <w:rFonts w:eastAsia="方正仿宋_GBK"/>
          <w:color w:val="000000"/>
          <w:sz w:val="32"/>
          <w:szCs w:val="32"/>
        </w:rPr>
        <w:t>积极开展社群营销，拓展产品社区团购、预售、配送等服务，创新消费模式和供给方式，推动农村电子商务助力乡村振兴发展。</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jc w:val="center"/>
        </w:trPr>
        <w:tc>
          <w:tcPr>
            <w:tcW w:w="8855" w:type="dxa"/>
            <w:noWrap w:val="0"/>
            <w:vAlign w:val="top"/>
          </w:tcPr>
          <w:p>
            <w:pPr>
              <w:pStyle w:val="148"/>
              <w:spacing w:line="440" w:lineRule="exact"/>
              <w:jc w:val="center"/>
              <w:rPr>
                <w:rFonts w:ascii="Times New Roman" w:eastAsia="方正黑体_GBK" w:cs="Times New Roman"/>
                <w:bCs/>
                <w:szCs w:val="28"/>
              </w:rPr>
            </w:pPr>
            <w:r>
              <w:rPr>
                <w:rFonts w:ascii="Times New Roman" w:eastAsia="方正黑体_GBK" w:cs="Times New Roman"/>
                <w:bCs/>
                <w:szCs w:val="28"/>
              </w:rPr>
              <w:t>专栏8-2：农村电商“升级版”重点</w:t>
            </w:r>
          </w:p>
          <w:p>
            <w:pPr>
              <w:pStyle w:val="148"/>
              <w:spacing w:line="440" w:lineRule="exact"/>
              <w:ind w:firstLine="482"/>
              <w:rPr>
                <w:rFonts w:ascii="Times New Roman" w:eastAsia="方正仿宋_GBK" w:cs="Times New Roman"/>
                <w:b/>
              </w:rPr>
            </w:pPr>
            <w:r>
              <w:rPr>
                <w:rFonts w:ascii="Times New Roman" w:eastAsia="方正仿宋_GBK" w:cs="Times New Roman"/>
                <w:b/>
                <w:bCs/>
              </w:rPr>
              <w:t>产地市场</w:t>
            </w:r>
            <w:r>
              <w:rPr>
                <w:rFonts w:ascii="Times New Roman" w:eastAsia="方正仿宋_GBK" w:cs="Times New Roman"/>
              </w:rPr>
              <w:t>。升级改造黔江吉之汇国际农贸物流城，建设田头市场。</w:t>
            </w:r>
          </w:p>
          <w:p>
            <w:pPr>
              <w:pStyle w:val="148"/>
              <w:spacing w:line="440" w:lineRule="exact"/>
              <w:ind w:firstLine="482"/>
              <w:rPr>
                <w:rFonts w:ascii="Times New Roman" w:eastAsia="方正仿宋_GBK" w:cs="Times New Roman"/>
                <w:bCs/>
              </w:rPr>
            </w:pPr>
            <w:r>
              <w:rPr>
                <w:rFonts w:ascii="Times New Roman" w:eastAsia="方正仿宋_GBK" w:cs="Times New Roman"/>
                <w:b/>
              </w:rPr>
              <w:t>农产品前置仓</w:t>
            </w:r>
            <w:r>
              <w:rPr>
                <w:rFonts w:ascii="Times New Roman" w:eastAsia="方正仿宋_GBK" w:cs="Times New Roman"/>
                <w:bCs/>
              </w:rPr>
              <w:t>。建设特色农特产品产地设置6个前置仓。</w:t>
            </w:r>
          </w:p>
          <w:p>
            <w:pPr>
              <w:pStyle w:val="148"/>
              <w:spacing w:line="440" w:lineRule="exact"/>
              <w:ind w:firstLine="482"/>
              <w:rPr>
                <w:rFonts w:ascii="Times New Roman" w:eastAsia="方正仿宋_GBK" w:cs="Times New Roman"/>
                <w:bCs/>
              </w:rPr>
            </w:pPr>
            <w:r>
              <w:rPr>
                <w:rFonts w:ascii="Times New Roman" w:eastAsia="方正仿宋_GBK" w:cs="Times New Roman"/>
                <w:b/>
              </w:rPr>
              <w:t>农村电商社区O2O体验店</w:t>
            </w:r>
            <w:r>
              <w:rPr>
                <w:rFonts w:ascii="Times New Roman" w:eastAsia="方正仿宋_GBK" w:cs="Times New Roman"/>
                <w:bCs/>
              </w:rPr>
              <w:t>。建设农村电商社区O2O体验店10个。</w:t>
            </w:r>
          </w:p>
          <w:p>
            <w:pPr>
              <w:pStyle w:val="148"/>
              <w:spacing w:line="440" w:lineRule="exact"/>
              <w:ind w:firstLine="482"/>
              <w:rPr>
                <w:rFonts w:ascii="Times New Roman" w:eastAsia="方正仿宋_GBK" w:cs="Times New Roman"/>
                <w:bCs/>
              </w:rPr>
            </w:pPr>
            <w:r>
              <w:rPr>
                <w:rFonts w:ascii="Times New Roman" w:eastAsia="方正仿宋_GBK" w:cs="Times New Roman"/>
                <w:b/>
              </w:rPr>
              <w:t>农特产品供应链</w:t>
            </w:r>
            <w:r>
              <w:rPr>
                <w:rFonts w:ascii="Times New Roman" w:eastAsia="方正仿宋_GBK" w:cs="Times New Roman"/>
                <w:bCs/>
              </w:rPr>
              <w:t>。建设网销产品研供中心。</w:t>
            </w:r>
          </w:p>
          <w:p>
            <w:pPr>
              <w:pStyle w:val="148"/>
              <w:spacing w:line="440" w:lineRule="exact"/>
              <w:ind w:firstLine="482"/>
              <w:rPr>
                <w:rFonts w:ascii="Times New Roman" w:eastAsia="方正仿宋_GBK" w:cs="Times New Roman"/>
                <w:bCs/>
              </w:rPr>
            </w:pPr>
            <w:r>
              <w:rPr>
                <w:rFonts w:ascii="Times New Roman" w:eastAsia="方正仿宋_GBK" w:cs="Times New Roman"/>
                <w:b/>
              </w:rPr>
              <w:t>直播电商基地</w:t>
            </w:r>
            <w:r>
              <w:rPr>
                <w:rFonts w:ascii="Times New Roman" w:eastAsia="方正仿宋_GBK" w:cs="Times New Roman"/>
                <w:bCs/>
              </w:rPr>
              <w:t>。建设基于优质内容传播的直播电商基地。</w:t>
            </w:r>
          </w:p>
        </w:tc>
      </w:tr>
    </w:tbl>
    <w:p>
      <w:pPr>
        <w:widowControl/>
        <w:spacing w:line="580" w:lineRule="exact"/>
        <w:ind w:firstLine="640" w:firstLineChars="200"/>
        <w:outlineLvl w:val="1"/>
        <w:rPr>
          <w:rFonts w:eastAsia="方正楷体_GBK"/>
          <w:color w:val="000000"/>
          <w:sz w:val="32"/>
          <w:szCs w:val="22"/>
        </w:rPr>
      </w:pPr>
      <w:bookmarkStart w:id="145" w:name="_Toc26495"/>
      <w:r>
        <w:rPr>
          <w:rFonts w:eastAsia="方正楷体_GBK"/>
          <w:color w:val="000000"/>
          <w:sz w:val="32"/>
          <w:szCs w:val="22"/>
        </w:rPr>
        <w:t>（三）大力发展跨境电子商务</w:t>
      </w:r>
      <w:bookmarkEnd w:id="145"/>
    </w:p>
    <w:p>
      <w:pPr>
        <w:spacing w:line="580" w:lineRule="exact"/>
        <w:ind w:firstLine="642" w:firstLineChars="200"/>
        <w:rPr>
          <w:rFonts w:eastAsia="方正仿宋_GBK"/>
          <w:bCs/>
          <w:color w:val="000000"/>
          <w:sz w:val="32"/>
          <w:szCs w:val="22"/>
        </w:rPr>
      </w:pPr>
      <w:r>
        <w:rPr>
          <w:rFonts w:eastAsia="方正仿宋_GBK"/>
          <w:b/>
          <w:color w:val="000000"/>
          <w:sz w:val="32"/>
          <w:szCs w:val="22"/>
        </w:rPr>
        <w:t>加快培育跨境电商平台</w:t>
      </w:r>
      <w:r>
        <w:rPr>
          <w:rFonts w:eastAsia="方正仿宋_GBK"/>
          <w:bCs/>
          <w:color w:val="000000"/>
          <w:sz w:val="32"/>
          <w:szCs w:val="22"/>
        </w:rPr>
        <w:t>。加快建设跨境电子商务智能货物集散中心，做大做强武陵山区进口商品授权分销中心。积极对接中国（重庆）跨境电子商务综合试验区、中国（重庆）自由贸易试验区、中新（重庆）战略性互联互通示范项目，加快构建集商品通关、检验检疫、物流分拨于一体的跨境电商一站式服务平台，完善跨境商品展示体验交易中心功能。支持电子商务企业建设茧丝绸、农特产品等出口商品“海外仓”和海外运营中心，积极推动跨境电商出口产业园及孵化基地建设，构建跨境电商完整产业链和生态圈。</w:t>
      </w:r>
    </w:p>
    <w:p>
      <w:pPr>
        <w:spacing w:line="580" w:lineRule="exact"/>
        <w:ind w:firstLine="642" w:firstLineChars="200"/>
        <w:rPr>
          <w:rFonts w:eastAsia="方正仿宋_GBK"/>
          <w:bCs/>
          <w:color w:val="000000"/>
          <w:sz w:val="32"/>
          <w:szCs w:val="22"/>
        </w:rPr>
      </w:pPr>
      <w:r>
        <w:rPr>
          <w:rFonts w:eastAsia="方正仿宋_GBK"/>
          <w:b/>
          <w:color w:val="000000"/>
          <w:sz w:val="32"/>
          <w:szCs w:val="22"/>
        </w:rPr>
        <w:t>完善跨境电商服务体系</w:t>
      </w:r>
      <w:r>
        <w:rPr>
          <w:rFonts w:eastAsia="方正仿宋_GBK"/>
          <w:bCs/>
          <w:color w:val="000000"/>
          <w:sz w:val="32"/>
          <w:szCs w:val="22"/>
        </w:rPr>
        <w:t>。</w:t>
      </w:r>
      <w:r>
        <w:rPr>
          <w:rFonts w:eastAsia="方正仿宋_GBK"/>
          <w:color w:val="000000"/>
          <w:kern w:val="0"/>
          <w:sz w:val="31"/>
          <w:szCs w:val="31"/>
          <w:lang w:bidi="ar"/>
        </w:rPr>
        <w:t>培育跨境电商企业，</w:t>
      </w:r>
      <w:r>
        <w:rPr>
          <w:rFonts w:eastAsia="方正仿宋_GBK"/>
          <w:bCs/>
          <w:color w:val="000000"/>
          <w:sz w:val="32"/>
          <w:szCs w:val="22"/>
        </w:rPr>
        <w:t>引进1-2家跨境第三方支付企业和具备境外结汇牌照的金融机构来黔江设立区域分部、结算中心等功能性机构，推动跨境商品、物流及投融资对接综合金融服务体系建设。实施跨境电商“优商优品”培育工程，提升跨境电商企业线上营销能力，打造跨境电商产业链和生态链，推动跨境电商企业开展B2B（企业对企业）为主导的跨境电子商务服务。推动线上“单一窗口”和线下“综合园区”平台建设，加快建立跨境电子商务综合服务体系。</w:t>
      </w:r>
    </w:p>
    <w:p>
      <w:pPr>
        <w:widowControl/>
        <w:spacing w:line="580" w:lineRule="exact"/>
        <w:ind w:firstLine="642" w:firstLineChars="200"/>
        <w:jc w:val="left"/>
        <w:rPr>
          <w:rFonts w:eastAsia="方正仿宋_GBK"/>
          <w:bCs/>
          <w:color w:val="000000"/>
          <w:sz w:val="24"/>
          <w:szCs w:val="28"/>
        </w:rPr>
      </w:pPr>
      <w:r>
        <w:rPr>
          <w:rFonts w:eastAsia="方正仿宋_GBK"/>
          <w:b/>
          <w:color w:val="000000"/>
          <w:sz w:val="32"/>
          <w:szCs w:val="22"/>
        </w:rPr>
        <w:t>优化跨境电商发展环境</w:t>
      </w:r>
      <w:r>
        <w:rPr>
          <w:rFonts w:eastAsia="方正仿宋_GBK"/>
          <w:bCs/>
          <w:color w:val="000000"/>
          <w:sz w:val="32"/>
          <w:szCs w:val="22"/>
        </w:rPr>
        <w:t>。推动渝东南电商产业园与金融机构合作，依法开展金融服务创新，构建多元化、多渠道的投融资机制，优化跨境电商企业投资、融资、孵化的良性运作环境。依托大数据等现代信息技术，</w:t>
      </w:r>
      <w:r>
        <w:rPr>
          <w:rFonts w:eastAsia="方正仿宋_GBK"/>
          <w:color w:val="000000"/>
          <w:sz w:val="32"/>
          <w:szCs w:val="32"/>
        </w:rPr>
        <w:t>鼓励跨境电商企业围绕技术、物流、服务创新商业模式，</w:t>
      </w:r>
      <w:r>
        <w:rPr>
          <w:rFonts w:eastAsia="方正仿宋_GBK"/>
          <w:bCs/>
          <w:color w:val="000000"/>
          <w:sz w:val="32"/>
          <w:szCs w:val="22"/>
        </w:rPr>
        <w:t>强化跨境电商企业监督管理，推动跨境电商企业经营规范化、管理专业化、物流标准化发展</w:t>
      </w:r>
      <w:r>
        <w:rPr>
          <w:rFonts w:eastAsia="方正仿宋_GBK"/>
          <w:color w:val="000000"/>
          <w:sz w:val="32"/>
          <w:szCs w:val="32"/>
        </w:rPr>
        <w:t>。</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55" w:type="dxa"/>
            <w:noWrap w:val="0"/>
            <w:vAlign w:val="top"/>
          </w:tcPr>
          <w:p>
            <w:pPr>
              <w:pStyle w:val="148"/>
              <w:spacing w:line="440" w:lineRule="exact"/>
              <w:jc w:val="center"/>
              <w:rPr>
                <w:rFonts w:ascii="Times New Roman" w:eastAsia="方正黑体_GBK" w:cs="Times New Roman"/>
                <w:bCs/>
                <w:szCs w:val="28"/>
              </w:rPr>
            </w:pPr>
            <w:r>
              <w:rPr>
                <w:rFonts w:ascii="Times New Roman" w:eastAsia="方正黑体_GBK" w:cs="Times New Roman"/>
                <w:bCs/>
                <w:szCs w:val="28"/>
              </w:rPr>
              <w:t>专栏8-3：跨境电商重点任务</w:t>
            </w:r>
          </w:p>
          <w:p>
            <w:pPr>
              <w:spacing w:line="400" w:lineRule="exact"/>
              <w:ind w:firstLine="481" w:firstLineChars="200"/>
              <w:rPr>
                <w:rFonts w:eastAsia="方正仿宋_GBK"/>
                <w:color w:val="000000"/>
                <w:sz w:val="24"/>
              </w:rPr>
            </w:pPr>
            <w:r>
              <w:rPr>
                <w:rFonts w:eastAsia="方正仿宋_GBK"/>
                <w:b/>
                <w:bCs/>
                <w:color w:val="000000"/>
                <w:sz w:val="24"/>
              </w:rPr>
              <w:t>跨境商品展示体验交易中心</w:t>
            </w:r>
            <w:r>
              <w:rPr>
                <w:rFonts w:eastAsia="方正仿宋_GBK"/>
                <w:color w:val="000000"/>
                <w:sz w:val="24"/>
              </w:rPr>
              <w:t>。进口商品直销中心。</w:t>
            </w:r>
          </w:p>
          <w:p>
            <w:pPr>
              <w:spacing w:line="400" w:lineRule="exact"/>
              <w:ind w:firstLine="481" w:firstLineChars="200"/>
              <w:rPr>
                <w:rFonts w:eastAsia="方正仿宋_GBK"/>
                <w:b/>
                <w:bCs/>
                <w:color w:val="000000"/>
                <w:sz w:val="24"/>
              </w:rPr>
            </w:pPr>
            <w:r>
              <w:rPr>
                <w:rFonts w:eastAsia="方正仿宋_GBK"/>
                <w:b/>
                <w:bCs/>
                <w:color w:val="000000"/>
                <w:sz w:val="24"/>
              </w:rPr>
              <w:t>扩建进口商品授权分销中心</w:t>
            </w:r>
            <w:r>
              <w:rPr>
                <w:rFonts w:eastAsia="方正仿宋_GBK"/>
                <w:color w:val="000000"/>
                <w:sz w:val="24"/>
              </w:rPr>
              <w:t>。扩大规模、增加产品品类，提升服务水平。</w:t>
            </w:r>
          </w:p>
          <w:p>
            <w:pPr>
              <w:spacing w:line="400" w:lineRule="exact"/>
              <w:ind w:firstLine="481" w:firstLineChars="200"/>
              <w:rPr>
                <w:rFonts w:eastAsia="方正仿宋_GBK"/>
                <w:color w:val="000000"/>
              </w:rPr>
            </w:pPr>
            <w:r>
              <w:rPr>
                <w:rFonts w:eastAsia="方正仿宋_GBK"/>
                <w:b/>
                <w:bCs/>
                <w:color w:val="000000"/>
                <w:sz w:val="24"/>
              </w:rPr>
              <w:t>跨境电商平台</w:t>
            </w:r>
            <w:r>
              <w:rPr>
                <w:rFonts w:eastAsia="方正仿宋_GBK"/>
                <w:color w:val="000000"/>
                <w:sz w:val="24"/>
              </w:rPr>
              <w:t>。跨境电商平台、外贸孵化中心、跨境金融服务中心，跨境电商渝东南分部。</w:t>
            </w:r>
          </w:p>
        </w:tc>
      </w:tr>
    </w:tbl>
    <w:p>
      <w:pPr>
        <w:widowControl/>
        <w:spacing w:line="580" w:lineRule="exact"/>
        <w:ind w:firstLine="640" w:firstLineChars="200"/>
        <w:outlineLvl w:val="1"/>
        <w:rPr>
          <w:rFonts w:eastAsia="方正楷体_GBK"/>
          <w:color w:val="000000"/>
          <w:sz w:val="32"/>
          <w:szCs w:val="22"/>
        </w:rPr>
      </w:pPr>
      <w:bookmarkStart w:id="146" w:name="_Toc30041"/>
      <w:r>
        <w:rPr>
          <w:rFonts w:eastAsia="方正楷体_GBK"/>
          <w:color w:val="000000"/>
          <w:sz w:val="32"/>
          <w:szCs w:val="22"/>
        </w:rPr>
        <w:t>（四）推动电商创新融合发展</w:t>
      </w:r>
      <w:bookmarkEnd w:id="146"/>
    </w:p>
    <w:p>
      <w:pPr>
        <w:spacing w:line="580" w:lineRule="exact"/>
        <w:ind w:firstLine="642" w:firstLineChars="200"/>
        <w:rPr>
          <w:rFonts w:eastAsia="方正仿宋_GBK"/>
          <w:bCs/>
          <w:color w:val="000000"/>
          <w:sz w:val="32"/>
          <w:szCs w:val="22"/>
        </w:rPr>
      </w:pPr>
      <w:r>
        <w:rPr>
          <w:rFonts w:eastAsia="方正仿宋_GBK"/>
          <w:b/>
          <w:color w:val="000000"/>
          <w:sz w:val="32"/>
          <w:szCs w:val="22"/>
        </w:rPr>
        <w:t>推进电商与传统产业深度融合</w:t>
      </w:r>
      <w:r>
        <w:rPr>
          <w:rFonts w:eastAsia="方正仿宋_GBK"/>
          <w:bCs/>
          <w:color w:val="000000"/>
          <w:sz w:val="32"/>
          <w:szCs w:val="22"/>
        </w:rPr>
        <w:t>。推进电子商务经营模式融入传统经济领域，全面带动传统产业转型升级。依托电子商务发展休闲农业、乡村旅游，积极开发农林生态、乡土文化资源价值，加速发展精准农业，探索订单农业，形成基于互联网的新型农业生产方式。支持制造业与电子商务企业全面合作，建立电子商务经销渠道，推动生产及服务资源的平台化发展，探索网络化定制等生产经营方式，积极培育工业电子商务新业态。创新流通企业经营模式，拓展供应链综合服务增值空间，打造以交易为核心、多种交付服务为支撑的B2B电子商务发展新格局。</w:t>
      </w:r>
    </w:p>
    <w:p>
      <w:pPr>
        <w:spacing w:line="580" w:lineRule="exact"/>
        <w:ind w:firstLine="642" w:firstLineChars="200"/>
        <w:rPr>
          <w:rFonts w:eastAsia="方正仿宋_GBK"/>
          <w:b/>
          <w:bCs/>
          <w:color w:val="000000"/>
          <w:sz w:val="32"/>
          <w:szCs w:val="32"/>
        </w:rPr>
      </w:pPr>
      <w:r>
        <w:rPr>
          <w:rFonts w:eastAsia="方正仿宋_GBK"/>
          <w:b/>
          <w:color w:val="000000"/>
          <w:sz w:val="32"/>
          <w:szCs w:val="22"/>
        </w:rPr>
        <w:t>引导商贸服务转型发展</w:t>
      </w:r>
      <w:r>
        <w:rPr>
          <w:rFonts w:eastAsia="方正仿宋_GBK"/>
          <w:bCs/>
          <w:color w:val="000000"/>
          <w:sz w:val="32"/>
          <w:szCs w:val="22"/>
        </w:rPr>
        <w:t>。着力推动传统商贸企业线上与线下、商品与服务、企业与行业深度融合，探索创新以供应链管理、品牌建设、线上线下一体发展等为特征的零售新模式新业态。支持电商企业布局线下新零售业务，推动传统商贸零售企业运用互联网、物联网、大数据、人工智能、云计算等数字技术全面改造业务流程，打造多种消费场景，培育一批新零售企业。重点选择旅游住宿、同城配送、家政服务、文化体育、网上菜场、洗车修车、交通出行等居民生活服务行业开展电子商务业务，推行服务在线化，实现线上线下一体化经营。</w:t>
      </w:r>
    </w:p>
    <w:p>
      <w:pPr>
        <w:spacing w:line="580" w:lineRule="exact"/>
        <w:ind w:firstLine="642" w:firstLineChars="200"/>
        <w:rPr>
          <w:rFonts w:eastAsia="方正仿宋_GBK"/>
          <w:bCs/>
          <w:color w:val="000000"/>
          <w:sz w:val="32"/>
          <w:szCs w:val="22"/>
        </w:rPr>
      </w:pPr>
      <w:r>
        <w:rPr>
          <w:rFonts w:eastAsia="方正仿宋_GBK"/>
          <w:b/>
          <w:bCs/>
          <w:color w:val="000000"/>
          <w:sz w:val="32"/>
          <w:szCs w:val="32"/>
        </w:rPr>
        <w:t>大力发展数字商务经济</w:t>
      </w:r>
      <w:r>
        <w:rPr>
          <w:rFonts w:eastAsia="方正仿宋_GBK"/>
          <w:color w:val="000000"/>
          <w:sz w:val="32"/>
          <w:szCs w:val="32"/>
        </w:rPr>
        <w:t>。推进数字商务重点项目建设，积极培育数字经济、共享经济、平台经济、创意经济，推进智慧商圈、智慧会展、智慧物流、智能口岸等重点项目建设。加快发展数字服务新业态，积极发展餐饮外卖、租赁式公寓等数字化餐饮住宿新业态，大力发展一站式社区电子商务、本地生活服务O2O等数字生活服务新业态，探索发展在线教育、远程医疗等数字化教育医疗新业态和创意众包、视频直播等数字文化新业态。引进旅行社集团、旅游电子商务平台，打造开放式旅游供应价值链，推动黔江成为游客出入武陵山区的总端口。</w:t>
      </w:r>
      <w:bookmarkEnd w:id="140"/>
      <w:bookmarkEnd w:id="141"/>
      <w:bookmarkEnd w:id="142"/>
      <w:bookmarkStart w:id="147" w:name="_Toc19084"/>
      <w:bookmarkStart w:id="148" w:name="_Toc26519"/>
      <w:bookmarkStart w:id="149" w:name="_Toc10706"/>
      <w:bookmarkStart w:id="150" w:name="_Toc3892"/>
    </w:p>
    <w:p>
      <w:pPr>
        <w:spacing w:line="580" w:lineRule="exact"/>
        <w:rPr>
          <w:rFonts w:eastAsia="方正仿宋_GBK"/>
          <w:bCs/>
          <w:color w:val="000000"/>
          <w:sz w:val="32"/>
          <w:szCs w:val="22"/>
        </w:rPr>
        <w:sectPr>
          <w:footerReference r:id="rId11" w:type="default"/>
          <w:pgSz w:w="11906" w:h="16838" w:orient="landscape"/>
          <w:pgMar w:top="2098" w:right="1531" w:bottom="1984" w:left="1531" w:header="1418" w:footer="1304" w:gutter="0"/>
          <w:cols w:space="720" w:num="1"/>
          <w:docGrid w:linePitch="312" w:charSpace="0"/>
        </w:sectPr>
      </w:pPr>
    </w:p>
    <w:bookmarkEnd w:id="147"/>
    <w:bookmarkEnd w:id="148"/>
    <w:bookmarkEnd w:id="149"/>
    <w:bookmarkEnd w:id="150"/>
    <w:p>
      <w:pPr>
        <w:spacing w:line="580" w:lineRule="exact"/>
        <w:outlineLvl w:val="0"/>
        <w:rPr>
          <w:rFonts w:eastAsia="方正黑体_GBK"/>
          <w:color w:val="000000"/>
          <w:sz w:val="32"/>
          <w:szCs w:val="22"/>
        </w:rPr>
      </w:pPr>
      <w:bookmarkStart w:id="151" w:name="_Toc12311"/>
      <w:bookmarkStart w:id="152" w:name="_Toc2568"/>
      <w:bookmarkStart w:id="153" w:name="_Toc15269"/>
      <w:bookmarkStart w:id="154" w:name="_Toc24465"/>
      <w:bookmarkStart w:id="155" w:name="_Toc3546"/>
      <w:r>
        <w:rPr>
          <w:rFonts w:eastAsia="方正黑体_GBK"/>
          <w:color w:val="000000"/>
          <w:sz w:val="32"/>
          <w:szCs w:val="22"/>
        </w:rPr>
        <w:t>九、加快应急保障体系建设，</w:t>
      </w:r>
      <w:bookmarkEnd w:id="151"/>
      <w:bookmarkEnd w:id="152"/>
      <w:bookmarkEnd w:id="153"/>
      <w:bookmarkEnd w:id="154"/>
      <w:r>
        <w:rPr>
          <w:rFonts w:eastAsia="方正黑体_GBK"/>
          <w:color w:val="000000"/>
          <w:sz w:val="32"/>
          <w:szCs w:val="22"/>
        </w:rPr>
        <w:t>建设武陵山区应急保障基地</w:t>
      </w:r>
      <w:bookmarkEnd w:id="155"/>
    </w:p>
    <w:p>
      <w:pPr>
        <w:spacing w:line="580" w:lineRule="exact"/>
        <w:ind w:firstLine="640" w:firstLineChars="200"/>
        <w:rPr>
          <w:rFonts w:eastAsia="方正仿宋_GBK"/>
          <w:bCs/>
          <w:color w:val="000000"/>
          <w:kern w:val="0"/>
          <w:sz w:val="32"/>
          <w:szCs w:val="22"/>
        </w:rPr>
      </w:pPr>
      <w:r>
        <w:rPr>
          <w:rFonts w:eastAsia="方正仿宋_GBK"/>
          <w:bCs/>
          <w:color w:val="000000"/>
          <w:kern w:val="0"/>
          <w:sz w:val="32"/>
          <w:szCs w:val="22"/>
        </w:rPr>
        <w:t>围绕提升应对突发事件的能力，加强应急物资储备体系建设，推进成品油市场体系建设，强化再生资源回收体系建设，加强应急物</w:t>
      </w:r>
      <w:r>
        <w:rPr>
          <w:rFonts w:hint="eastAsia" w:eastAsia="方正仿宋_GBK"/>
          <w:bCs/>
          <w:color w:val="000000"/>
          <w:kern w:val="0"/>
          <w:sz w:val="32"/>
          <w:szCs w:val="22"/>
          <w:lang w:eastAsia="zh-CN"/>
        </w:rPr>
        <w:t>资</w:t>
      </w:r>
      <w:r>
        <w:rPr>
          <w:rFonts w:eastAsia="方正仿宋_GBK"/>
          <w:bCs/>
          <w:color w:val="000000"/>
          <w:kern w:val="0"/>
          <w:sz w:val="32"/>
          <w:szCs w:val="22"/>
        </w:rPr>
        <w:t>信息平台建设，建立应急配送保障机制，完善应急物资储备，提高应急保障能力。</w:t>
      </w:r>
    </w:p>
    <w:p>
      <w:pPr>
        <w:widowControl/>
        <w:spacing w:line="580" w:lineRule="exact"/>
        <w:ind w:firstLine="640" w:firstLineChars="200"/>
        <w:outlineLvl w:val="1"/>
        <w:rPr>
          <w:rFonts w:eastAsia="方正楷体_GBK"/>
          <w:color w:val="000000"/>
          <w:sz w:val="32"/>
          <w:szCs w:val="22"/>
        </w:rPr>
      </w:pPr>
      <w:bookmarkStart w:id="156" w:name="_Toc75615687"/>
      <w:bookmarkStart w:id="157" w:name="_Toc7895"/>
      <w:r>
        <w:rPr>
          <w:rFonts w:eastAsia="方正楷体_GBK"/>
          <w:color w:val="000000"/>
          <w:sz w:val="32"/>
          <w:szCs w:val="22"/>
        </w:rPr>
        <w:t>（一）加强应急物资储备体系建设</w:t>
      </w:r>
      <w:bookmarkEnd w:id="156"/>
      <w:bookmarkEnd w:id="157"/>
    </w:p>
    <w:p>
      <w:pPr>
        <w:spacing w:line="580" w:lineRule="exact"/>
        <w:ind w:firstLine="642" w:firstLineChars="200"/>
        <w:rPr>
          <w:rFonts w:eastAsia="方正仿宋_GBK"/>
          <w:color w:val="000000"/>
          <w:sz w:val="32"/>
          <w:szCs w:val="32"/>
        </w:rPr>
      </w:pPr>
      <w:r>
        <w:rPr>
          <w:rFonts w:eastAsia="方正仿宋_GBK"/>
          <w:b/>
          <w:color w:val="000000"/>
          <w:kern w:val="0"/>
          <w:sz w:val="32"/>
          <w:szCs w:val="22"/>
        </w:rPr>
        <w:t>推动应急保障基地建设</w:t>
      </w:r>
      <w:r>
        <w:rPr>
          <w:rFonts w:eastAsia="方正仿宋_GBK"/>
          <w:bCs/>
          <w:color w:val="000000"/>
          <w:kern w:val="0"/>
          <w:sz w:val="32"/>
          <w:szCs w:val="22"/>
        </w:rPr>
        <w:t>。配合应急管理部门</w:t>
      </w:r>
      <w:r>
        <w:rPr>
          <w:rFonts w:eastAsia="方正仿宋_GBK"/>
          <w:color w:val="000000"/>
          <w:sz w:val="32"/>
          <w:szCs w:val="32"/>
        </w:rPr>
        <w:t>研究</w:t>
      </w:r>
      <w:r>
        <w:rPr>
          <w:rFonts w:eastAsia="方正仿宋_GBK"/>
          <w:bCs/>
          <w:color w:val="000000"/>
          <w:kern w:val="0"/>
          <w:sz w:val="32"/>
          <w:szCs w:val="22"/>
        </w:rPr>
        <w:t>渝东南武陵山区城镇群应急保供物资储备中心项目建设，重点推动物资生产中心、物资仓储中心、物流分拨配送中心、应急管理培训中心等功能载体建设，积极争取纳入重庆市应急保障基地统一规划建设。</w:t>
      </w:r>
      <w:r>
        <w:rPr>
          <w:rFonts w:eastAsia="方正仿宋_GBK"/>
          <w:bCs/>
          <w:color w:val="000000"/>
          <w:kern w:val="0"/>
          <w:sz w:val="32"/>
        </w:rPr>
        <w:t>加大</w:t>
      </w:r>
      <w:r>
        <w:rPr>
          <w:rFonts w:eastAsia="方正仿宋_GBK"/>
          <w:bCs/>
          <w:color w:val="000000"/>
          <w:kern w:val="0"/>
          <w:sz w:val="32"/>
          <w:szCs w:val="22"/>
        </w:rPr>
        <w:t>重要商品和应急</w:t>
      </w:r>
      <w:r>
        <w:rPr>
          <w:rFonts w:eastAsia="方正仿宋_GBK"/>
          <w:bCs/>
          <w:color w:val="000000"/>
          <w:kern w:val="0"/>
          <w:sz w:val="32"/>
        </w:rPr>
        <w:t>生活物资储备力度，完善应急物资采购、配送体系，有效应对突发事件对重要生活物资的巨大需求，保障重要生活物资市场供应平稳</w:t>
      </w:r>
      <w:r>
        <w:rPr>
          <w:rFonts w:eastAsia="方正仿宋_GBK"/>
          <w:color w:val="000000"/>
          <w:sz w:val="32"/>
          <w:szCs w:val="32"/>
        </w:rPr>
        <w:t>。增强应急保供能力，高标准建设应急队伍，优化生活物资应急预案，加强应急响应演练，提升应急反应效率和调度水平。</w:t>
      </w:r>
      <w:r>
        <w:rPr>
          <w:rFonts w:eastAsia="方正仿宋_GBK"/>
          <w:bCs/>
          <w:color w:val="000000"/>
          <w:kern w:val="0"/>
          <w:sz w:val="32"/>
        </w:rPr>
        <w:t>巩固完善与周边区县保供协作机制，建立片区联储联保机制、应急商品调运机制和灾害应急预案。</w:t>
      </w:r>
    </w:p>
    <w:p>
      <w:pPr>
        <w:spacing w:line="580" w:lineRule="exact"/>
        <w:ind w:firstLine="642" w:firstLineChars="200"/>
        <w:rPr>
          <w:rFonts w:eastAsia="方正仿宋_GBK"/>
          <w:bCs/>
          <w:color w:val="000000"/>
          <w:kern w:val="0"/>
          <w:sz w:val="32"/>
          <w:szCs w:val="22"/>
        </w:rPr>
      </w:pPr>
      <w:r>
        <w:rPr>
          <w:rFonts w:eastAsia="方正仿宋_GBK"/>
          <w:b/>
          <w:color w:val="000000"/>
          <w:kern w:val="0"/>
          <w:sz w:val="32"/>
          <w:szCs w:val="22"/>
        </w:rPr>
        <w:t>强化应急生活物资储备</w:t>
      </w:r>
      <w:r>
        <w:rPr>
          <w:rFonts w:eastAsia="方正仿宋_GBK"/>
          <w:bCs/>
          <w:color w:val="000000"/>
          <w:kern w:val="0"/>
          <w:sz w:val="32"/>
          <w:szCs w:val="22"/>
        </w:rPr>
        <w:t>。加快建设生活必需品应急物资储备管理体系，完善管理制度，健全储备机制，推动区级储备与镇街储备、政府储备与商业库存、实物储备与生产供应相结合。培育一批重点保供企业，采用与大型企业签订应急合同或信息储备等方式的动态储备模式，推进信息数据共享平台建设，建立区、镇（街道）、企业三级物资监测网络，完善应急投放网络、各类应急储备物资数据库和监测预警体系，扩大生活必需品、生产资料等应急物资的监测范围。在避险逃生、生存求助、饮用水、食品、医用药品等方面科学规划</w:t>
      </w:r>
      <w:r>
        <w:rPr>
          <w:rFonts w:hint="eastAsia" w:eastAsia="方正仿宋_GBK"/>
          <w:bCs/>
          <w:color w:val="000000"/>
          <w:kern w:val="0"/>
          <w:sz w:val="32"/>
          <w:szCs w:val="22"/>
          <w:lang w:eastAsia="zh-CN"/>
        </w:rPr>
        <w:t>物资</w:t>
      </w:r>
      <w:r>
        <w:rPr>
          <w:rFonts w:eastAsia="方正仿宋_GBK"/>
          <w:bCs/>
          <w:color w:val="000000"/>
          <w:kern w:val="0"/>
          <w:sz w:val="32"/>
          <w:szCs w:val="22"/>
        </w:rPr>
        <w:t>储备库，配置各种应急设备，提高应对公共卫生、自然灾害、战争等应急能力。强化储备商品全程监管，保障储备商品质量安全。推进实施“菜篮子”工程，发挥农产品批发市场在“菜篮子”工程中的重要流通节点作用，提升“菜篮子”产品市场供应能力。</w:t>
      </w:r>
    </w:p>
    <w:p>
      <w:pPr>
        <w:spacing w:line="580" w:lineRule="exact"/>
        <w:ind w:firstLine="642" w:firstLineChars="200"/>
        <w:rPr>
          <w:rFonts w:eastAsia="方正仿宋_GBK"/>
          <w:bCs/>
          <w:color w:val="000000"/>
          <w:kern w:val="0"/>
          <w:sz w:val="32"/>
          <w:szCs w:val="22"/>
        </w:rPr>
      </w:pPr>
      <w:r>
        <w:rPr>
          <w:rFonts w:eastAsia="方正仿宋_GBK"/>
          <w:b/>
          <w:color w:val="000000"/>
          <w:kern w:val="0"/>
          <w:sz w:val="32"/>
          <w:szCs w:val="22"/>
        </w:rPr>
        <w:t>加快培育发展应急产业</w:t>
      </w:r>
      <w:r>
        <w:rPr>
          <w:rFonts w:eastAsia="方正仿宋_GBK"/>
          <w:bCs/>
          <w:color w:val="000000"/>
          <w:kern w:val="0"/>
          <w:sz w:val="32"/>
          <w:szCs w:val="22"/>
        </w:rPr>
        <w:t>。</w:t>
      </w:r>
      <w:r>
        <w:rPr>
          <w:rFonts w:eastAsia="方正仿宋_GBK"/>
          <w:bCs/>
          <w:color w:val="000000"/>
          <w:kern w:val="0"/>
          <w:sz w:val="32"/>
        </w:rPr>
        <w:t>搭建应急保障智慧管控平台，提升智慧应急设施、设备推广与应用，做到应急保障精确化、智能化、快速化、安全化和高效化。加大医药企业招商力度，引进和培育一批医用药品应急企业，重点生产酒精、纱布卷、消毒纸巾、口罩、医用防护服、护目镜等</w:t>
      </w:r>
      <w:r>
        <w:rPr>
          <w:rFonts w:eastAsia="方正仿宋_GBK"/>
          <w:bCs/>
          <w:color w:val="000000"/>
          <w:sz w:val="32"/>
          <w:szCs w:val="32"/>
        </w:rPr>
        <w:t>公共卫生防疫产品</w:t>
      </w:r>
      <w:r>
        <w:rPr>
          <w:rFonts w:eastAsia="方正仿宋_GBK"/>
          <w:bCs/>
          <w:color w:val="000000"/>
          <w:kern w:val="0"/>
          <w:sz w:val="32"/>
        </w:rPr>
        <w:t>。围绕装备制造产业，培育发展一批专用应急装备企业，积极开发消防、救护等领域应急产品。</w:t>
      </w:r>
    </w:p>
    <w:p>
      <w:pPr>
        <w:widowControl/>
        <w:spacing w:line="580" w:lineRule="exact"/>
        <w:ind w:firstLine="640" w:firstLineChars="200"/>
        <w:outlineLvl w:val="1"/>
        <w:rPr>
          <w:rFonts w:eastAsia="方正楷体_GBK"/>
          <w:color w:val="000000"/>
          <w:sz w:val="32"/>
          <w:szCs w:val="22"/>
        </w:rPr>
      </w:pPr>
      <w:bookmarkStart w:id="158" w:name="_Toc14933"/>
      <w:bookmarkStart w:id="159" w:name="_Toc75615688"/>
      <w:r>
        <w:rPr>
          <w:rFonts w:eastAsia="方正楷体_GBK"/>
          <w:color w:val="000000"/>
          <w:sz w:val="32"/>
          <w:szCs w:val="22"/>
        </w:rPr>
        <w:t>（二）推进成品油市场体系建设</w:t>
      </w:r>
      <w:bookmarkEnd w:id="158"/>
      <w:bookmarkEnd w:id="159"/>
    </w:p>
    <w:p>
      <w:pPr>
        <w:spacing w:line="580" w:lineRule="exact"/>
        <w:ind w:firstLine="642" w:firstLineChars="200"/>
        <w:rPr>
          <w:rFonts w:eastAsia="方正仿宋_GBK"/>
          <w:bCs/>
          <w:color w:val="000000"/>
          <w:kern w:val="0"/>
          <w:sz w:val="32"/>
          <w:szCs w:val="22"/>
        </w:rPr>
      </w:pPr>
      <w:r>
        <w:rPr>
          <w:rFonts w:eastAsia="方正仿宋_GBK"/>
          <w:b/>
          <w:color w:val="000000"/>
          <w:kern w:val="0"/>
          <w:sz w:val="32"/>
          <w:szCs w:val="22"/>
        </w:rPr>
        <w:t>优化成品油网点布局</w:t>
      </w:r>
      <w:r>
        <w:rPr>
          <w:rFonts w:eastAsia="方正仿宋_GBK"/>
          <w:bCs/>
          <w:color w:val="000000"/>
          <w:kern w:val="0"/>
          <w:sz w:val="32"/>
          <w:szCs w:val="22"/>
        </w:rPr>
        <w:t>。加快推进渝东南成品油分拨中心建设，优先在农村、尚无加油站的乡镇、老城区、新增道路、新增城区等区域新增成品油站点布局。优化成品油消费结构，合理布局“油气”“油电”“油气电”等综合能源站，推进城区、高速路出入口、车站、停车场等车辆密集区域混合站点布局。严格控制成品油网点总量，建立与社会经济发展相适应、满足广大消费者需要、布局合理、功能完善、竞争有序、安全高效的现代化成品油零售服务网络体系。</w:t>
      </w:r>
    </w:p>
    <w:p>
      <w:pPr>
        <w:spacing w:line="580" w:lineRule="exact"/>
        <w:ind w:firstLine="642" w:firstLineChars="200"/>
        <w:rPr>
          <w:rFonts w:eastAsia="方正仿宋_GBK"/>
          <w:bCs/>
          <w:color w:val="000000"/>
          <w:kern w:val="0"/>
          <w:sz w:val="32"/>
          <w:szCs w:val="22"/>
        </w:rPr>
      </w:pPr>
      <w:r>
        <w:rPr>
          <w:rFonts w:eastAsia="方正仿宋_GBK"/>
          <w:b/>
          <w:color w:val="000000"/>
          <w:kern w:val="0"/>
          <w:sz w:val="32"/>
          <w:szCs w:val="22"/>
        </w:rPr>
        <w:t>加强成品油供应保障</w:t>
      </w:r>
      <w:r>
        <w:rPr>
          <w:rFonts w:eastAsia="方正仿宋_GBK"/>
          <w:bCs/>
          <w:color w:val="000000"/>
          <w:kern w:val="0"/>
          <w:sz w:val="32"/>
          <w:szCs w:val="22"/>
        </w:rPr>
        <w:t>。加强成品油购销体系建设，加大成品油供应保障力度，强化成品油协调和应急调度，构建配套齐全、公平有序、安全运行、健康发展的成品油供应市场。优化运输市场环境，着力构建铁路运输、公路运输为一体的成品油供应保障运输体系，建设覆盖全区的成品油配送体系。推动形成“</w:t>
      </w:r>
      <w:r>
        <w:rPr>
          <w:rFonts w:eastAsia="方正仿宋_GBK"/>
          <w:bCs/>
          <w:color w:val="0000FF"/>
          <w:kern w:val="0"/>
          <w:sz w:val="32"/>
          <w:szCs w:val="22"/>
        </w:rPr>
        <w:t>中石油为主，中石化为辅，合资企业规模扩大，民营企业点多量增</w:t>
      </w:r>
      <w:r>
        <w:rPr>
          <w:rFonts w:eastAsia="方正仿宋_GBK"/>
          <w:bCs/>
          <w:color w:val="000000"/>
          <w:kern w:val="0"/>
          <w:sz w:val="32"/>
          <w:szCs w:val="22"/>
        </w:rPr>
        <w:t>”的经营主体多元化发展格局，提升成品油供应保障能力。</w:t>
      </w:r>
    </w:p>
    <w:p>
      <w:pPr>
        <w:spacing w:line="580" w:lineRule="exact"/>
        <w:ind w:firstLine="642" w:firstLineChars="200"/>
        <w:rPr>
          <w:rFonts w:eastAsia="方正仿宋_GBK"/>
          <w:bCs/>
          <w:color w:val="000000"/>
          <w:kern w:val="0"/>
          <w:szCs w:val="22"/>
        </w:rPr>
      </w:pPr>
      <w:r>
        <w:rPr>
          <w:rFonts w:eastAsia="方正仿宋_GBK"/>
          <w:b/>
          <w:bCs/>
          <w:color w:val="000000"/>
          <w:sz w:val="32"/>
          <w:szCs w:val="32"/>
        </w:rPr>
        <w:t>加强成品油市场监管</w:t>
      </w:r>
      <w:r>
        <w:rPr>
          <w:rFonts w:eastAsia="方正仿宋_GBK"/>
          <w:color w:val="000000"/>
          <w:sz w:val="32"/>
          <w:szCs w:val="32"/>
        </w:rPr>
        <w:t>。</w:t>
      </w:r>
      <w:r>
        <w:rPr>
          <w:rFonts w:eastAsia="方正仿宋_GBK"/>
          <w:color w:val="000000"/>
          <w:sz w:val="32"/>
        </w:rPr>
        <w:t>进一步加强对成品油监管工作，制定成品油市场监督管理机制，</w:t>
      </w:r>
      <w:r>
        <w:rPr>
          <w:rFonts w:eastAsia="方正仿宋_GBK"/>
          <w:color w:val="000000"/>
          <w:sz w:val="32"/>
          <w:szCs w:val="32"/>
        </w:rPr>
        <w:t>强化成品油市场的监管，加强对违规建设的加油站的管理与处罚。严厉打击非法调油窝点、非法油品销售点、非法流动加油罐车、非法储存使用非标准油品、偷税漏税等违法犯罪行为。加强社会监督，利用电视、网络等媒体广泛宣传，拓宽公共参与渠道，形成监管合力，增强规划的民主性和可行性。</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55" w:type="dxa"/>
            <w:noWrap w:val="0"/>
            <w:vAlign w:val="top"/>
          </w:tcPr>
          <w:p>
            <w:pPr>
              <w:pStyle w:val="148"/>
              <w:spacing w:line="440" w:lineRule="exact"/>
              <w:jc w:val="center"/>
              <w:rPr>
                <w:rFonts w:ascii="Times New Roman" w:eastAsia="方正黑体_GBK" w:cs="Times New Roman"/>
                <w:bCs/>
                <w:szCs w:val="28"/>
              </w:rPr>
            </w:pPr>
            <w:r>
              <w:rPr>
                <w:rFonts w:ascii="Times New Roman" w:eastAsia="方正黑体_GBK" w:cs="Times New Roman"/>
                <w:bCs/>
                <w:szCs w:val="28"/>
              </w:rPr>
              <w:t>专栏9-1：应急储备体系建设重点</w:t>
            </w:r>
          </w:p>
          <w:p>
            <w:pPr>
              <w:spacing w:line="400" w:lineRule="exact"/>
              <w:ind w:firstLine="481" w:firstLineChars="200"/>
              <w:jc w:val="left"/>
              <w:rPr>
                <w:rFonts w:eastAsia="方正仿宋_GBK"/>
                <w:bCs/>
                <w:color w:val="000000"/>
                <w:sz w:val="24"/>
              </w:rPr>
            </w:pPr>
            <w:r>
              <w:rPr>
                <w:rFonts w:eastAsia="方正仿宋_GBK"/>
                <w:b/>
                <w:color w:val="000000"/>
                <w:sz w:val="24"/>
              </w:rPr>
              <w:t>渝东南武陵山区城镇群应急保供物资储备中心</w:t>
            </w:r>
            <w:r>
              <w:rPr>
                <w:rFonts w:eastAsia="方正仿宋_GBK"/>
                <w:bCs/>
                <w:color w:val="000000"/>
                <w:sz w:val="24"/>
              </w:rPr>
              <w:t>。渝东南应急物资储备、产品分拨中心，应急产品和生产能力储备综合信息平台。</w:t>
            </w:r>
          </w:p>
          <w:p>
            <w:pPr>
              <w:spacing w:line="400" w:lineRule="exact"/>
              <w:ind w:firstLine="481" w:firstLineChars="200"/>
              <w:jc w:val="left"/>
              <w:rPr>
                <w:rFonts w:eastAsia="方正仿宋_GBK"/>
                <w:color w:val="000000"/>
              </w:rPr>
            </w:pPr>
            <w:r>
              <w:rPr>
                <w:rFonts w:eastAsia="方正仿宋_GBK"/>
                <w:b/>
                <w:color w:val="000000"/>
                <w:sz w:val="24"/>
              </w:rPr>
              <w:t>成品油站点</w:t>
            </w:r>
            <w:r>
              <w:rPr>
                <w:rFonts w:eastAsia="方正仿宋_GBK"/>
                <w:color w:val="000000"/>
                <w:sz w:val="24"/>
              </w:rPr>
              <w:t>。黔江区内成品油站点。</w:t>
            </w:r>
          </w:p>
        </w:tc>
      </w:tr>
    </w:tbl>
    <w:p>
      <w:pPr>
        <w:spacing w:line="580" w:lineRule="exact"/>
        <w:outlineLvl w:val="0"/>
        <w:rPr>
          <w:rFonts w:eastAsia="方正仿宋_GBK"/>
          <w:color w:val="000000"/>
          <w:sz w:val="32"/>
          <w:szCs w:val="22"/>
        </w:rPr>
        <w:sectPr>
          <w:pgSz w:w="11906" w:h="16838" w:orient="landscape"/>
          <w:pgMar w:top="2098" w:right="1531" w:bottom="1984" w:left="1531" w:header="1418" w:footer="1304" w:gutter="0"/>
          <w:cols w:space="720" w:num="1"/>
          <w:docGrid w:linePitch="312" w:charSpace="0"/>
        </w:sectPr>
      </w:pPr>
      <w:bookmarkStart w:id="160" w:name="_Toc13521"/>
      <w:bookmarkStart w:id="161" w:name="_Toc22204"/>
      <w:bookmarkStart w:id="162" w:name="_Toc24155"/>
      <w:bookmarkStart w:id="163" w:name="_Toc10638"/>
    </w:p>
    <w:p>
      <w:pPr>
        <w:spacing w:line="580" w:lineRule="exact"/>
        <w:outlineLvl w:val="0"/>
        <w:rPr>
          <w:rFonts w:eastAsia="方正黑体_GBK"/>
          <w:color w:val="000000"/>
          <w:sz w:val="32"/>
          <w:szCs w:val="22"/>
        </w:rPr>
      </w:pPr>
      <w:bookmarkStart w:id="164" w:name="_Toc8879"/>
      <w:r>
        <w:rPr>
          <w:rFonts w:eastAsia="方正黑体_GBK"/>
          <w:color w:val="000000"/>
          <w:sz w:val="32"/>
          <w:szCs w:val="22"/>
        </w:rPr>
        <w:t>十、保障措施</w:t>
      </w:r>
      <w:bookmarkEnd w:id="160"/>
      <w:bookmarkEnd w:id="161"/>
      <w:bookmarkEnd w:id="162"/>
      <w:bookmarkEnd w:id="163"/>
      <w:bookmarkEnd w:id="164"/>
    </w:p>
    <w:p>
      <w:pPr>
        <w:widowControl/>
        <w:spacing w:line="580" w:lineRule="exact"/>
        <w:ind w:firstLine="640" w:firstLineChars="200"/>
        <w:outlineLvl w:val="1"/>
        <w:rPr>
          <w:rFonts w:eastAsia="方正楷体_GBK"/>
          <w:color w:val="000000"/>
          <w:sz w:val="32"/>
          <w:szCs w:val="22"/>
        </w:rPr>
      </w:pPr>
      <w:bookmarkStart w:id="165" w:name="_Toc481"/>
      <w:bookmarkStart w:id="166" w:name="_Toc30945"/>
      <w:bookmarkStart w:id="167" w:name="_Toc1682"/>
      <w:bookmarkStart w:id="168" w:name="_Toc10633"/>
      <w:bookmarkStart w:id="169" w:name="_Toc18885"/>
      <w:r>
        <w:rPr>
          <w:rFonts w:eastAsia="方正楷体_GBK"/>
          <w:color w:val="000000"/>
          <w:sz w:val="32"/>
          <w:szCs w:val="22"/>
        </w:rPr>
        <w:t>（一）强化组织保障</w:t>
      </w:r>
      <w:bookmarkEnd w:id="165"/>
      <w:bookmarkEnd w:id="166"/>
      <w:bookmarkEnd w:id="167"/>
      <w:bookmarkEnd w:id="168"/>
      <w:bookmarkEnd w:id="169"/>
    </w:p>
    <w:p>
      <w:pPr>
        <w:spacing w:line="580" w:lineRule="exact"/>
        <w:ind w:firstLine="640" w:firstLineChars="200"/>
        <w:rPr>
          <w:rFonts w:eastAsia="方正仿宋_GBK"/>
          <w:bCs/>
          <w:color w:val="000000"/>
          <w:sz w:val="32"/>
          <w:szCs w:val="32"/>
        </w:rPr>
      </w:pPr>
      <w:r>
        <w:rPr>
          <w:rFonts w:eastAsia="方正仿宋_GBK"/>
          <w:bCs/>
          <w:color w:val="000000"/>
          <w:sz w:val="32"/>
          <w:szCs w:val="32"/>
        </w:rPr>
        <w:t>成立全区商贸物流发展工作领导小组，统领和协调商贸物流业发展规划、政策制定、招商引资等建设工作，建立区域协同、部门联动工作机制。围绕重点领域和重点项目，建立联席会议制度，明确责任主体，共同对重大项目及涉及政府扶持资金运用的决策进行协同研究，扎实推进现代商贸物流业发展。完善部门联系企业制度，部门定期对所联系企业和项目进行考察调研，帮助企业协调建设和经营过程中遇到的困难和问题。</w:t>
      </w:r>
    </w:p>
    <w:p>
      <w:pPr>
        <w:widowControl/>
        <w:spacing w:line="580" w:lineRule="exact"/>
        <w:ind w:firstLine="640" w:firstLineChars="200"/>
        <w:outlineLvl w:val="1"/>
        <w:rPr>
          <w:rFonts w:eastAsia="方正楷体_GBK"/>
          <w:color w:val="000000"/>
          <w:sz w:val="32"/>
          <w:szCs w:val="22"/>
        </w:rPr>
      </w:pPr>
      <w:bookmarkStart w:id="170" w:name="_Toc23490"/>
      <w:bookmarkStart w:id="171" w:name="_Toc32723"/>
      <w:bookmarkStart w:id="172" w:name="_Toc22663"/>
      <w:bookmarkStart w:id="173" w:name="_Toc11390"/>
      <w:bookmarkStart w:id="174" w:name="_Toc8531"/>
      <w:r>
        <w:rPr>
          <w:rFonts w:eastAsia="方正楷体_GBK"/>
          <w:color w:val="000000"/>
          <w:sz w:val="32"/>
          <w:szCs w:val="22"/>
        </w:rPr>
        <w:t>（二）强化规划实施</w:t>
      </w:r>
      <w:bookmarkEnd w:id="170"/>
      <w:bookmarkEnd w:id="171"/>
      <w:bookmarkEnd w:id="172"/>
      <w:bookmarkEnd w:id="173"/>
      <w:bookmarkEnd w:id="174"/>
    </w:p>
    <w:p>
      <w:pPr>
        <w:spacing w:line="580" w:lineRule="exact"/>
        <w:ind w:firstLine="640" w:firstLineChars="200"/>
        <w:rPr>
          <w:rFonts w:eastAsia="方正仿宋_GBK"/>
          <w:color w:val="000000"/>
        </w:rPr>
      </w:pPr>
      <w:r>
        <w:rPr>
          <w:rFonts w:eastAsia="方正仿宋_GBK"/>
          <w:bCs/>
          <w:color w:val="000000"/>
          <w:sz w:val="32"/>
          <w:szCs w:val="22"/>
        </w:rPr>
        <w:t>充分发挥政府优化规划布局、统筹配置资源、政策扶持引导等宏观调控作用，弥补市场调节的不足，促进商贸物流业合理有序发展。坚持以规划落实项目，以项目落实规划，加强重点建设区域和重点项目宏观调控，充分发挥重大项目对转变商贸物流发展方式、推进结构转型的带动作用，对新建、续建大型商品交易市场实行分级听证制度，对大型商业设施进行控制性有序开发，实行总量控制和地段控制。合理利用土地，有重点、有步骤、分阶段地培育多元化市场主体和各种市场组织。</w:t>
      </w:r>
    </w:p>
    <w:p>
      <w:pPr>
        <w:widowControl/>
        <w:spacing w:line="580" w:lineRule="exact"/>
        <w:ind w:firstLine="640" w:firstLineChars="200"/>
        <w:outlineLvl w:val="1"/>
        <w:rPr>
          <w:rFonts w:eastAsia="方正楷体_GBK"/>
          <w:color w:val="000000"/>
          <w:sz w:val="32"/>
          <w:szCs w:val="22"/>
        </w:rPr>
      </w:pPr>
      <w:bookmarkStart w:id="175" w:name="_Toc4757"/>
      <w:bookmarkStart w:id="176" w:name="_Toc20782"/>
      <w:bookmarkStart w:id="177" w:name="_Toc30452"/>
      <w:bookmarkStart w:id="178" w:name="_Toc11386"/>
      <w:bookmarkStart w:id="179" w:name="_Toc25600"/>
      <w:r>
        <w:rPr>
          <w:rFonts w:eastAsia="方正楷体_GBK"/>
          <w:color w:val="000000"/>
          <w:sz w:val="32"/>
          <w:szCs w:val="22"/>
        </w:rPr>
        <w:t>（三）强化政策支持</w:t>
      </w:r>
      <w:bookmarkEnd w:id="175"/>
      <w:bookmarkEnd w:id="176"/>
      <w:bookmarkEnd w:id="177"/>
      <w:bookmarkEnd w:id="178"/>
      <w:bookmarkEnd w:id="179"/>
    </w:p>
    <w:p>
      <w:pPr>
        <w:spacing w:line="580" w:lineRule="exact"/>
        <w:ind w:firstLine="640" w:firstLineChars="200"/>
        <w:rPr>
          <w:rFonts w:eastAsia="方正仿宋_GBK"/>
          <w:color w:val="000000"/>
        </w:rPr>
      </w:pPr>
      <w:r>
        <w:rPr>
          <w:rFonts w:eastAsia="方正仿宋_GBK"/>
          <w:bCs/>
          <w:color w:val="000000"/>
          <w:sz w:val="32"/>
          <w:szCs w:val="22"/>
        </w:rPr>
        <w:t>加大财税、价格、金融、土地等政策支持力度，加强协同联动。完善扶持激励制度，对于列入规划的重点项目出台配套优惠政策，建立商贸服务业设施重大项目打表推进和专项督查制度，确保重大建设项目落地和顺利实施。有效运用税收政策和土地政策，支持民生公益商业、重大商贸基础设施项目建设。鼓励金融机构支持互联网消费，鼓励发展融资担保机构，支持发展消费信贷，鼓励设立消费信贷专营机构和消费金融公司。</w:t>
      </w:r>
    </w:p>
    <w:p>
      <w:pPr>
        <w:widowControl/>
        <w:spacing w:line="580" w:lineRule="exact"/>
        <w:ind w:firstLine="640" w:firstLineChars="200"/>
        <w:outlineLvl w:val="1"/>
        <w:rPr>
          <w:rFonts w:eastAsia="方正楷体_GBK"/>
          <w:color w:val="000000"/>
          <w:sz w:val="32"/>
          <w:szCs w:val="22"/>
        </w:rPr>
      </w:pPr>
      <w:bookmarkStart w:id="180" w:name="_Toc21249"/>
      <w:bookmarkStart w:id="181" w:name="_Toc24610"/>
      <w:bookmarkStart w:id="182" w:name="_Toc3145"/>
      <w:bookmarkStart w:id="183" w:name="_Toc4742"/>
      <w:bookmarkStart w:id="184" w:name="_Toc10170"/>
      <w:r>
        <w:rPr>
          <w:rFonts w:eastAsia="方正楷体_GBK"/>
          <w:color w:val="000000"/>
          <w:sz w:val="32"/>
          <w:szCs w:val="22"/>
        </w:rPr>
        <w:t>（四）强化招商引资</w:t>
      </w:r>
      <w:bookmarkEnd w:id="180"/>
      <w:bookmarkEnd w:id="181"/>
      <w:bookmarkEnd w:id="182"/>
      <w:bookmarkEnd w:id="183"/>
      <w:bookmarkEnd w:id="184"/>
    </w:p>
    <w:p>
      <w:pPr>
        <w:spacing w:line="580" w:lineRule="exact"/>
        <w:ind w:firstLine="640" w:firstLineChars="200"/>
        <w:rPr>
          <w:rFonts w:eastAsia="方正仿宋_GBK"/>
          <w:bCs/>
          <w:color w:val="000000"/>
          <w:sz w:val="32"/>
          <w:szCs w:val="22"/>
        </w:rPr>
      </w:pPr>
      <w:r>
        <w:rPr>
          <w:rFonts w:eastAsia="方正仿宋_GBK"/>
          <w:bCs/>
          <w:color w:val="000000"/>
          <w:sz w:val="32"/>
          <w:szCs w:val="22"/>
        </w:rPr>
        <w:t>推进产业链招商、产业集群招商，强化集聚效应。广泛吸引国内外各种资本参与黔江商贸物流业发展，以灵活创新的投融资模式吸引大型知名企业入驻。政府和企业联手，通过主题招商、中介机构代理招商、企业自主招商等多种招商渠道和出访、拜访、致函等多种形式，针对性推介重点商贸服务项目。精心策划大型商贸物流业项目招商方案，慎重选择、积极引进市场影响力大的国内外知名企业、知名品牌、先进业态和新兴行业，通过著名品牌之间协同作用，放大商贸物流业叠加效应。</w:t>
      </w:r>
    </w:p>
    <w:p>
      <w:pPr>
        <w:widowControl/>
        <w:spacing w:line="580" w:lineRule="exact"/>
        <w:ind w:firstLine="640" w:firstLineChars="200"/>
        <w:outlineLvl w:val="1"/>
        <w:rPr>
          <w:rFonts w:eastAsia="方正楷体_GBK"/>
          <w:color w:val="000000"/>
          <w:sz w:val="32"/>
          <w:szCs w:val="22"/>
        </w:rPr>
      </w:pPr>
      <w:bookmarkStart w:id="185" w:name="_Toc12320"/>
      <w:bookmarkStart w:id="186" w:name="_Toc20266"/>
      <w:bookmarkStart w:id="187" w:name="_Toc8666"/>
      <w:bookmarkStart w:id="188" w:name="_Toc32691"/>
      <w:bookmarkStart w:id="189" w:name="_Toc5509"/>
      <w:r>
        <w:rPr>
          <w:rFonts w:eastAsia="方正楷体_GBK"/>
          <w:color w:val="000000"/>
          <w:sz w:val="32"/>
          <w:szCs w:val="22"/>
        </w:rPr>
        <w:t>（五）强化人才队伍</w:t>
      </w:r>
      <w:bookmarkEnd w:id="185"/>
      <w:bookmarkEnd w:id="186"/>
      <w:bookmarkEnd w:id="187"/>
      <w:bookmarkEnd w:id="188"/>
      <w:bookmarkEnd w:id="189"/>
      <w:r>
        <w:rPr>
          <w:rFonts w:eastAsia="方正楷体_GBK"/>
          <w:color w:val="000000"/>
          <w:sz w:val="32"/>
          <w:szCs w:val="22"/>
        </w:rPr>
        <w:t>建设</w:t>
      </w:r>
    </w:p>
    <w:p>
      <w:pPr>
        <w:spacing w:line="580" w:lineRule="exact"/>
        <w:ind w:firstLine="640" w:firstLineChars="200"/>
        <w:rPr>
          <w:rFonts w:eastAsia="方正仿宋_GBK"/>
          <w:bCs/>
          <w:color w:val="000000"/>
          <w:sz w:val="32"/>
          <w:szCs w:val="22"/>
        </w:rPr>
      </w:pPr>
      <w:bookmarkStart w:id="190" w:name="_Toc10400"/>
      <w:r>
        <w:rPr>
          <w:rFonts w:eastAsia="方正仿宋_GBK"/>
          <w:bCs/>
          <w:color w:val="000000"/>
          <w:sz w:val="32"/>
          <w:szCs w:val="22"/>
        </w:rPr>
        <w:t>大力实施“人才强商”工程，加强现代商贸物流业领域人才引进与培养，以适应现代商贸物流业发展要求。依托高等院校和职业学校，通过多种形式合作办学，加快培养各个层次的现代商贸物流人才。树立“容智胜于融资”理念，出台相关政策，吸引一批懂经营、会管理、熟悉国际贸易规则的人才到黔江区“十四五”建设中来，成为行业领军人物，服务黔江经济发展。</w:t>
      </w:r>
      <w:bookmarkEnd w:id="190"/>
    </w:p>
    <w:p>
      <w:pPr>
        <w:widowControl/>
        <w:spacing w:line="580" w:lineRule="exact"/>
        <w:ind w:firstLine="640" w:firstLineChars="200"/>
        <w:outlineLvl w:val="1"/>
        <w:rPr>
          <w:rFonts w:eastAsia="方正楷体_GBK"/>
          <w:color w:val="000000"/>
          <w:sz w:val="32"/>
          <w:szCs w:val="22"/>
        </w:rPr>
      </w:pPr>
      <w:bookmarkStart w:id="191" w:name="_Toc7235"/>
      <w:r>
        <w:rPr>
          <w:rFonts w:eastAsia="方正楷体_GBK"/>
          <w:color w:val="000000"/>
          <w:sz w:val="32"/>
          <w:szCs w:val="22"/>
        </w:rPr>
        <w:t>（六）强化安全生产及风险防控</w:t>
      </w:r>
      <w:bookmarkEnd w:id="191"/>
    </w:p>
    <w:p>
      <w:pPr>
        <w:spacing w:line="580" w:lineRule="exact"/>
        <w:ind w:firstLine="640" w:firstLineChars="200"/>
        <w:rPr>
          <w:rFonts w:eastAsia="方正仿宋_GBK"/>
          <w:bCs/>
          <w:color w:val="000000"/>
          <w:sz w:val="32"/>
          <w:szCs w:val="22"/>
        </w:rPr>
      </w:pPr>
      <w:r>
        <w:rPr>
          <w:rFonts w:eastAsia="方正仿宋_GBK"/>
          <w:bCs/>
          <w:color w:val="000000"/>
          <w:sz w:val="32"/>
          <w:szCs w:val="22"/>
        </w:rPr>
        <w:t>全面落实习近平总书记关于安全生产及风险防控重要指示精神，牢固树立安全发展理念，按照安全生产“三个必须”和“党政同责，一岗双责，齐抓共管”要求，全面落实商务领域安全生产责任制，完善部门监管责任与企业主体责任相结合的安全生产责任体系，进一步压实责任，通过“大排查、大整治、大执法”及“安全生产专项整治三年行动”的实施，切实增强企业安全生产的主体责任和部门的监管责任。同时，加强企业安全生产培训，增强企业安全生产理念和安全生产意识。进一步加大企业安全投入，提升企业安全技防能力，不断提高企业本质安全水平。健全完善市场应急机制，推动跨区域联保联供机制，保障市场供应平稳运行。建立风险防范处置机制，定期排查商务领域安全风险点，实行分级分类管控，精准有效处置重点领域风险，确保安全。</w:t>
      </w:r>
    </w:p>
    <w:p>
      <w:pPr>
        <w:widowControl/>
        <w:spacing w:line="580" w:lineRule="exact"/>
        <w:ind w:firstLine="640" w:firstLineChars="200"/>
        <w:rPr>
          <w:rFonts w:eastAsia="方正仿宋_GBK"/>
          <w:bCs/>
          <w:color w:val="000000"/>
          <w:sz w:val="32"/>
          <w:szCs w:val="22"/>
        </w:rPr>
        <w:sectPr>
          <w:pgSz w:w="11906" w:h="16838" w:orient="landscape"/>
          <w:pgMar w:top="2098" w:right="1531" w:bottom="1984" w:left="1531" w:header="1418" w:footer="1304" w:gutter="0"/>
          <w:cols w:space="720" w:num="1"/>
          <w:docGrid w:linePitch="312" w:charSpace="0"/>
        </w:sectPr>
      </w:pPr>
    </w:p>
    <w:p>
      <w:pPr>
        <w:spacing w:line="580" w:lineRule="exact"/>
        <w:outlineLvl w:val="0"/>
        <w:rPr>
          <w:rFonts w:eastAsia="方正黑体_GBK"/>
          <w:color w:val="000000"/>
          <w:sz w:val="32"/>
          <w:szCs w:val="22"/>
        </w:rPr>
      </w:pPr>
      <w:bookmarkStart w:id="192" w:name="_Toc15243"/>
      <w:bookmarkStart w:id="193" w:name="_Toc29256"/>
      <w:bookmarkStart w:id="194" w:name="_Toc24189"/>
      <w:r>
        <w:rPr>
          <w:rFonts w:eastAsia="方正黑体_GBK"/>
          <w:color w:val="000000"/>
          <w:sz w:val="32"/>
          <w:szCs w:val="22"/>
        </w:rPr>
        <w:t>附表</w:t>
      </w:r>
      <w:bookmarkEnd w:id="192"/>
      <w:bookmarkEnd w:id="193"/>
      <w:bookmarkEnd w:id="194"/>
    </w:p>
    <w:p>
      <w:pPr>
        <w:spacing w:line="400" w:lineRule="exact"/>
        <w:jc w:val="center"/>
        <w:rPr>
          <w:rFonts w:eastAsia="方正黑体_GBK"/>
          <w:bCs/>
          <w:color w:val="000000"/>
          <w:sz w:val="30"/>
          <w:szCs w:val="30"/>
        </w:rPr>
      </w:pPr>
      <w:r>
        <w:rPr>
          <w:rFonts w:eastAsia="方正黑体_GBK"/>
          <w:bCs/>
          <w:color w:val="000000"/>
          <w:sz w:val="30"/>
          <w:szCs w:val="30"/>
        </w:rPr>
        <w:t>“十三五”商贸物流发展主要预期目标完成情况表</w:t>
      </w:r>
    </w:p>
    <w:tbl>
      <w:tblPr>
        <w:tblStyle w:val="17"/>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4"/>
        <w:gridCol w:w="3558"/>
        <w:gridCol w:w="1812"/>
        <w:gridCol w:w="1709"/>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8" w:hRule="atLeast"/>
          <w:tblHeader/>
        </w:trPr>
        <w:tc>
          <w:tcPr>
            <w:tcW w:w="674" w:type="dxa"/>
            <w:noWrap w:val="0"/>
            <w:vAlign w:val="center"/>
          </w:tcPr>
          <w:p>
            <w:pPr>
              <w:spacing w:line="400" w:lineRule="exact"/>
              <w:jc w:val="center"/>
              <w:rPr>
                <w:rFonts w:eastAsia="方正黑体_GBK"/>
                <w:bCs/>
                <w:color w:val="000000"/>
                <w:sz w:val="24"/>
              </w:rPr>
            </w:pPr>
            <w:r>
              <w:rPr>
                <w:rFonts w:eastAsia="方正黑体_GBK"/>
                <w:bCs/>
                <w:color w:val="000000"/>
                <w:sz w:val="24"/>
              </w:rPr>
              <w:t>序号</w:t>
            </w:r>
          </w:p>
        </w:tc>
        <w:tc>
          <w:tcPr>
            <w:tcW w:w="3558" w:type="dxa"/>
            <w:noWrap w:val="0"/>
            <w:vAlign w:val="center"/>
          </w:tcPr>
          <w:p>
            <w:pPr>
              <w:spacing w:line="400" w:lineRule="exact"/>
              <w:jc w:val="center"/>
              <w:rPr>
                <w:rFonts w:eastAsia="方正黑体_GBK"/>
                <w:bCs/>
                <w:color w:val="000000"/>
                <w:sz w:val="24"/>
              </w:rPr>
            </w:pPr>
            <w:r>
              <w:rPr>
                <w:rFonts w:eastAsia="方正黑体_GBK"/>
                <w:bCs/>
                <w:color w:val="000000"/>
                <w:sz w:val="24"/>
              </w:rPr>
              <w:t>指标名称</w:t>
            </w:r>
          </w:p>
        </w:tc>
        <w:tc>
          <w:tcPr>
            <w:tcW w:w="1812" w:type="dxa"/>
            <w:noWrap w:val="0"/>
            <w:vAlign w:val="center"/>
          </w:tcPr>
          <w:p>
            <w:pPr>
              <w:spacing w:line="400" w:lineRule="exact"/>
              <w:jc w:val="center"/>
              <w:rPr>
                <w:rFonts w:eastAsia="方正黑体_GBK"/>
                <w:bCs/>
                <w:color w:val="000000"/>
                <w:sz w:val="24"/>
              </w:rPr>
            </w:pPr>
            <w:r>
              <w:rPr>
                <w:rFonts w:eastAsia="方正黑体_GBK"/>
                <w:bCs/>
                <w:color w:val="000000"/>
                <w:kern w:val="0"/>
                <w:sz w:val="24"/>
              </w:rPr>
              <w:t>2020年目标值</w:t>
            </w:r>
          </w:p>
        </w:tc>
        <w:tc>
          <w:tcPr>
            <w:tcW w:w="1709" w:type="dxa"/>
            <w:noWrap w:val="0"/>
            <w:vAlign w:val="center"/>
          </w:tcPr>
          <w:p>
            <w:pPr>
              <w:spacing w:line="400" w:lineRule="exact"/>
              <w:jc w:val="center"/>
              <w:rPr>
                <w:rFonts w:eastAsia="方正黑体_GBK"/>
                <w:bCs/>
                <w:color w:val="000000"/>
                <w:sz w:val="24"/>
              </w:rPr>
            </w:pPr>
            <w:r>
              <w:rPr>
                <w:rFonts w:eastAsia="方正黑体_GBK"/>
                <w:bCs/>
                <w:color w:val="000000"/>
                <w:kern w:val="0"/>
                <w:sz w:val="24"/>
              </w:rPr>
              <w:t>2020年完成值</w:t>
            </w:r>
          </w:p>
        </w:tc>
        <w:tc>
          <w:tcPr>
            <w:tcW w:w="1101" w:type="dxa"/>
            <w:noWrap w:val="0"/>
            <w:vAlign w:val="center"/>
          </w:tcPr>
          <w:p>
            <w:pPr>
              <w:spacing w:line="400" w:lineRule="exact"/>
              <w:jc w:val="center"/>
              <w:rPr>
                <w:rFonts w:eastAsia="方正黑体_GBK"/>
                <w:bCs/>
                <w:color w:val="000000"/>
                <w:sz w:val="24"/>
              </w:rPr>
            </w:pPr>
            <w:r>
              <w:rPr>
                <w:rFonts w:eastAsia="方正黑体_GBK"/>
                <w:bCs/>
                <w:color w:val="000000"/>
                <w:sz w:val="24"/>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spacing w:line="400" w:lineRule="exact"/>
              <w:jc w:val="center"/>
              <w:rPr>
                <w:rFonts w:eastAsia="方正仿宋_GBK"/>
                <w:color w:val="000000"/>
                <w:sz w:val="24"/>
              </w:rPr>
            </w:pPr>
            <w:r>
              <w:rPr>
                <w:rFonts w:eastAsia="方正仿宋_GBK"/>
                <w:color w:val="000000"/>
                <w:sz w:val="24"/>
              </w:rPr>
              <w:t>1</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社会消费品零售总额（亿元）</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149</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131.1</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spacing w:line="400" w:lineRule="exact"/>
              <w:jc w:val="center"/>
              <w:rPr>
                <w:rFonts w:eastAsia="方正仿宋_GBK"/>
                <w:color w:val="000000"/>
                <w:sz w:val="24"/>
              </w:rPr>
            </w:pPr>
            <w:r>
              <w:rPr>
                <w:rFonts w:eastAsia="方正仿宋_GBK"/>
                <w:color w:val="000000"/>
                <w:sz w:val="24"/>
              </w:rPr>
              <w:t>2</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批发业销售额（亿元）</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300</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140.4</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widowControl/>
              <w:spacing w:line="400" w:lineRule="exact"/>
              <w:jc w:val="center"/>
              <w:textAlignment w:val="center"/>
              <w:rPr>
                <w:rFonts w:eastAsia="方正仿宋_GBK"/>
                <w:color w:val="000000"/>
                <w:sz w:val="24"/>
              </w:rPr>
            </w:pPr>
            <w:r>
              <w:rPr>
                <w:rFonts w:eastAsia="方正仿宋_GBK"/>
                <w:color w:val="000000"/>
                <w:kern w:val="0"/>
                <w:sz w:val="22"/>
                <w:szCs w:val="22"/>
              </w:rPr>
              <w:t>3</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住宿餐饮业营业额（亿元）</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20</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24.1</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widowControl/>
              <w:spacing w:line="400" w:lineRule="exact"/>
              <w:jc w:val="center"/>
              <w:textAlignment w:val="center"/>
              <w:rPr>
                <w:rFonts w:eastAsia="方正仿宋_GBK"/>
                <w:color w:val="000000"/>
                <w:sz w:val="24"/>
              </w:rPr>
            </w:pPr>
            <w:r>
              <w:rPr>
                <w:rFonts w:eastAsia="方正仿宋_GBK"/>
                <w:color w:val="000000"/>
                <w:kern w:val="0"/>
                <w:sz w:val="22"/>
                <w:szCs w:val="22"/>
              </w:rPr>
              <w:t>4</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限额以上商贸企业（家）</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160</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88</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widowControl/>
              <w:spacing w:line="400" w:lineRule="exact"/>
              <w:jc w:val="center"/>
              <w:textAlignment w:val="center"/>
              <w:rPr>
                <w:rFonts w:eastAsia="方正仿宋_GBK"/>
                <w:color w:val="000000"/>
                <w:sz w:val="24"/>
              </w:rPr>
            </w:pPr>
            <w:r>
              <w:rPr>
                <w:rFonts w:eastAsia="方正仿宋_GBK"/>
                <w:color w:val="000000"/>
                <w:kern w:val="0"/>
                <w:sz w:val="22"/>
                <w:szCs w:val="22"/>
              </w:rPr>
              <w:t>5</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电子商务交易额（亿元）</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40</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51.3</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widowControl/>
              <w:spacing w:line="400" w:lineRule="exact"/>
              <w:jc w:val="center"/>
              <w:textAlignment w:val="center"/>
              <w:rPr>
                <w:rFonts w:eastAsia="方正仿宋_GBK"/>
                <w:color w:val="000000"/>
                <w:sz w:val="24"/>
              </w:rPr>
            </w:pPr>
            <w:r>
              <w:rPr>
                <w:rFonts w:eastAsia="方正仿宋_GBK"/>
                <w:color w:val="000000"/>
                <w:kern w:val="0"/>
                <w:sz w:val="22"/>
                <w:szCs w:val="22"/>
              </w:rPr>
              <w:t>6</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网络零售商品销售额（亿元）</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15</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26.48</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widowControl/>
              <w:spacing w:line="400" w:lineRule="exact"/>
              <w:jc w:val="center"/>
              <w:textAlignment w:val="center"/>
              <w:rPr>
                <w:rFonts w:eastAsia="方正仿宋_GBK"/>
                <w:color w:val="000000"/>
                <w:sz w:val="24"/>
              </w:rPr>
            </w:pPr>
            <w:r>
              <w:rPr>
                <w:rFonts w:eastAsia="方正仿宋_GBK"/>
                <w:color w:val="000000"/>
                <w:kern w:val="0"/>
                <w:sz w:val="22"/>
                <w:szCs w:val="22"/>
              </w:rPr>
              <w:t>7</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外贸进出口总额（亿元）</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5</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1.2</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widowControl/>
              <w:spacing w:line="400" w:lineRule="exact"/>
              <w:jc w:val="center"/>
              <w:textAlignment w:val="center"/>
              <w:rPr>
                <w:rFonts w:eastAsia="方正仿宋_GBK"/>
                <w:color w:val="000000"/>
                <w:sz w:val="24"/>
              </w:rPr>
            </w:pPr>
            <w:r>
              <w:rPr>
                <w:rFonts w:eastAsia="方正仿宋_GBK"/>
                <w:color w:val="000000"/>
                <w:kern w:val="0"/>
                <w:sz w:val="22"/>
                <w:szCs w:val="22"/>
              </w:rPr>
              <w:t>8</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会展业直接收入（亿元）</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15</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6.3</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widowControl/>
              <w:spacing w:line="400" w:lineRule="exact"/>
              <w:jc w:val="center"/>
              <w:textAlignment w:val="center"/>
              <w:rPr>
                <w:rFonts w:eastAsia="方正仿宋_GBK"/>
                <w:color w:val="000000"/>
                <w:sz w:val="24"/>
              </w:rPr>
            </w:pPr>
            <w:r>
              <w:rPr>
                <w:rFonts w:eastAsia="方正仿宋_GBK"/>
                <w:color w:val="000000"/>
                <w:kern w:val="0"/>
                <w:sz w:val="22"/>
                <w:szCs w:val="22"/>
              </w:rPr>
              <w:t>9</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再生资源回收服务网点（个）</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150</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100</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674" w:type="dxa"/>
            <w:noWrap w:val="0"/>
            <w:vAlign w:val="center"/>
          </w:tcPr>
          <w:p>
            <w:pPr>
              <w:widowControl/>
              <w:spacing w:line="400" w:lineRule="exact"/>
              <w:jc w:val="center"/>
              <w:textAlignment w:val="center"/>
              <w:rPr>
                <w:rFonts w:eastAsia="方正仿宋_GBK"/>
                <w:color w:val="000000"/>
                <w:sz w:val="24"/>
              </w:rPr>
            </w:pPr>
            <w:r>
              <w:rPr>
                <w:rFonts w:eastAsia="方正仿宋_GBK"/>
                <w:color w:val="000000"/>
                <w:kern w:val="0"/>
                <w:sz w:val="22"/>
                <w:szCs w:val="22"/>
              </w:rPr>
              <w:t>10</w:t>
            </w:r>
          </w:p>
        </w:tc>
        <w:tc>
          <w:tcPr>
            <w:tcW w:w="3558" w:type="dxa"/>
            <w:noWrap w:val="0"/>
            <w:vAlign w:val="center"/>
          </w:tcPr>
          <w:p>
            <w:pPr>
              <w:spacing w:line="400" w:lineRule="exact"/>
              <w:jc w:val="left"/>
              <w:rPr>
                <w:rFonts w:eastAsia="方正仿宋_GBK"/>
                <w:color w:val="000000"/>
                <w:sz w:val="24"/>
              </w:rPr>
            </w:pPr>
            <w:r>
              <w:rPr>
                <w:rFonts w:eastAsia="方正仿宋_GBK"/>
                <w:color w:val="000000"/>
                <w:sz w:val="24"/>
              </w:rPr>
              <w:t>社区便民商圈（个）</w:t>
            </w:r>
          </w:p>
        </w:tc>
        <w:tc>
          <w:tcPr>
            <w:tcW w:w="1812" w:type="dxa"/>
            <w:noWrap w:val="0"/>
            <w:vAlign w:val="center"/>
          </w:tcPr>
          <w:p>
            <w:pPr>
              <w:spacing w:line="400" w:lineRule="exact"/>
              <w:jc w:val="center"/>
              <w:rPr>
                <w:rFonts w:eastAsia="方正仿宋_GBK"/>
                <w:color w:val="000000"/>
                <w:sz w:val="24"/>
              </w:rPr>
            </w:pPr>
            <w:r>
              <w:rPr>
                <w:rFonts w:eastAsia="方正仿宋_GBK"/>
                <w:color w:val="000000"/>
                <w:sz w:val="24"/>
              </w:rPr>
              <w:t>15</w:t>
            </w:r>
          </w:p>
        </w:tc>
        <w:tc>
          <w:tcPr>
            <w:tcW w:w="1709" w:type="dxa"/>
            <w:noWrap w:val="0"/>
            <w:vAlign w:val="center"/>
          </w:tcPr>
          <w:p>
            <w:pPr>
              <w:spacing w:line="400" w:lineRule="exact"/>
              <w:jc w:val="center"/>
              <w:rPr>
                <w:rFonts w:eastAsia="方正仿宋_GBK"/>
                <w:color w:val="000000"/>
                <w:sz w:val="24"/>
              </w:rPr>
            </w:pPr>
            <w:r>
              <w:rPr>
                <w:rFonts w:eastAsia="方正仿宋_GBK"/>
                <w:color w:val="000000"/>
                <w:sz w:val="24"/>
              </w:rPr>
              <w:t>16</w:t>
            </w:r>
          </w:p>
        </w:tc>
        <w:tc>
          <w:tcPr>
            <w:tcW w:w="1101" w:type="dxa"/>
            <w:noWrap w:val="0"/>
            <w:vAlign w:val="center"/>
          </w:tcPr>
          <w:p>
            <w:pPr>
              <w:spacing w:line="400" w:lineRule="exact"/>
              <w:jc w:val="center"/>
              <w:rPr>
                <w:rFonts w:eastAsia="方正仿宋_GBK"/>
                <w:color w:val="000000"/>
                <w:sz w:val="24"/>
              </w:rPr>
            </w:pPr>
            <w:r>
              <w:rPr>
                <w:rFonts w:eastAsia="方正仿宋_GBK"/>
                <w:color w:val="000000"/>
                <w:sz w:val="24"/>
              </w:rPr>
              <w:t>预期性</w:t>
            </w:r>
          </w:p>
        </w:tc>
      </w:tr>
    </w:tbl>
    <w:p>
      <w:pPr>
        <w:rPr>
          <w:color w:val="000000"/>
        </w:rPr>
        <w:sectPr>
          <w:pgSz w:w="11906" w:h="16838" w:orient="landscape"/>
          <w:pgMar w:top="2098" w:right="1531" w:bottom="1984" w:left="1531" w:header="1418" w:footer="1304" w:gutter="0"/>
          <w:cols w:space="720" w:num="1"/>
          <w:docGrid w:linePitch="312" w:charSpace="0"/>
        </w:sectPr>
      </w:pPr>
    </w:p>
    <w:bookmarkEnd w:id="5"/>
    <w:bookmarkEnd w:id="6"/>
    <w:p>
      <w:pPr>
        <w:spacing w:line="580" w:lineRule="exact"/>
        <w:outlineLvl w:val="0"/>
        <w:rPr>
          <w:rFonts w:eastAsia="方正黑体_GBK"/>
          <w:color w:val="000000"/>
          <w:sz w:val="32"/>
          <w:szCs w:val="22"/>
        </w:rPr>
      </w:pPr>
      <w:bookmarkStart w:id="195" w:name="_Toc21675"/>
      <w:bookmarkStart w:id="196" w:name="_Toc10376"/>
      <w:bookmarkStart w:id="197" w:name="_Toc29742"/>
      <w:r>
        <w:rPr>
          <w:rFonts w:eastAsia="方正黑体_GBK"/>
          <w:color w:val="000000"/>
          <w:sz w:val="32"/>
          <w:szCs w:val="22"/>
        </w:rPr>
        <w:t>附图</w:t>
      </w:r>
      <w:bookmarkEnd w:id="195"/>
      <w:bookmarkEnd w:id="196"/>
      <w:bookmarkEnd w:id="197"/>
    </w:p>
    <w:p>
      <w:pPr>
        <w:jc w:val="center"/>
        <w:rPr>
          <w:color w:val="000000"/>
        </w:rPr>
        <w:sectPr>
          <w:pgSz w:w="11906" w:h="16838" w:orient="landscape"/>
          <w:pgMar w:top="2098" w:right="1531" w:bottom="1984" w:left="1531" w:header="1418" w:footer="1304" w:gutter="0"/>
          <w:cols w:space="720" w:num="1"/>
          <w:docGrid w:linePitch="312" w:charSpace="0"/>
        </w:sectPr>
      </w:pPr>
      <w:r>
        <w:rPr>
          <w:color w:val="000000"/>
        </w:rPr>
        <w:drawing>
          <wp:inline distT="0" distB="0" distL="114300" distR="114300">
            <wp:extent cx="5686425" cy="7325360"/>
            <wp:effectExtent l="0" t="0" r="9525" b="8890"/>
            <wp:docPr id="4" name="Picture 1" descr="两大商圈"/>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Picture 1" descr="两大商圈"/>
                    <pic:cNvPicPr>
                      <a:picLocks noChangeAspect="true"/>
                    </pic:cNvPicPr>
                  </pic:nvPicPr>
                  <pic:blipFill>
                    <a:blip r:embed="rId13"/>
                    <a:srcRect l="1753" t="3508" r="2486" b="3279"/>
                    <a:stretch>
                      <a:fillRect/>
                    </a:stretch>
                  </pic:blipFill>
                  <pic:spPr>
                    <a:xfrm>
                      <a:off x="0" y="0"/>
                      <a:ext cx="5686425" cy="7325360"/>
                    </a:xfrm>
                    <a:prstGeom prst="rect">
                      <a:avLst/>
                    </a:prstGeom>
                    <a:noFill/>
                    <a:ln>
                      <a:noFill/>
                    </a:ln>
                  </pic:spPr>
                </pic:pic>
              </a:graphicData>
            </a:graphic>
          </wp:inline>
        </w:drawing>
      </w:r>
    </w:p>
    <w:p>
      <w:pPr>
        <w:pStyle w:val="148"/>
        <w:jc w:val="center"/>
        <w:rPr>
          <w:rFonts w:ascii="Times New Roman" w:cs="Times New Roman"/>
        </w:rPr>
      </w:pPr>
      <w:r>
        <w:rPr>
          <w:rFonts w:ascii="Times New Roman" w:cs="Times New Roman"/>
        </w:rPr>
        <w:drawing>
          <wp:inline distT="0" distB="0" distL="114300" distR="114300">
            <wp:extent cx="5723890" cy="8092440"/>
            <wp:effectExtent l="0" t="0" r="10160" b="3810"/>
            <wp:docPr id="5" name="Picture 2" descr="商业街070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Picture 2" descr="商业街0705"/>
                    <pic:cNvPicPr>
                      <a:picLocks noChangeAspect="true"/>
                    </pic:cNvPicPr>
                  </pic:nvPicPr>
                  <pic:blipFill>
                    <a:blip r:embed="rId14"/>
                    <a:stretch>
                      <a:fillRect/>
                    </a:stretch>
                  </pic:blipFill>
                  <pic:spPr>
                    <a:xfrm>
                      <a:off x="0" y="0"/>
                      <a:ext cx="5723890" cy="8092440"/>
                    </a:xfrm>
                    <a:prstGeom prst="rect">
                      <a:avLst/>
                    </a:prstGeom>
                    <a:noFill/>
                    <a:ln>
                      <a:noFill/>
                    </a:ln>
                  </pic:spPr>
                </pic:pic>
              </a:graphicData>
            </a:graphic>
          </wp:inline>
        </w:drawing>
      </w:r>
    </w:p>
    <w:p>
      <w:pPr>
        <w:rPr>
          <w:color w:val="000000"/>
        </w:rPr>
      </w:pPr>
      <w:r>
        <w:rPr>
          <w:color w:val="000000"/>
        </w:rPr>
        <w:drawing>
          <wp:inline distT="0" distB="0" distL="114300" distR="114300">
            <wp:extent cx="5685790" cy="7782560"/>
            <wp:effectExtent l="0" t="0" r="10160" b="8890"/>
            <wp:docPr id="6" name="Picture 3" descr="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Picture 3" descr="2"/>
                    <pic:cNvPicPr>
                      <a:picLocks noChangeAspect="true"/>
                    </pic:cNvPicPr>
                  </pic:nvPicPr>
                  <pic:blipFill>
                    <a:blip r:embed="rId15"/>
                    <a:srcRect l="2286" t="3705" r="1810" b="3233"/>
                    <a:stretch>
                      <a:fillRect/>
                    </a:stretch>
                  </pic:blipFill>
                  <pic:spPr>
                    <a:xfrm>
                      <a:off x="0" y="0"/>
                      <a:ext cx="5685790" cy="7782560"/>
                    </a:xfrm>
                    <a:prstGeom prst="rect">
                      <a:avLst/>
                    </a:prstGeom>
                    <a:noFill/>
                    <a:ln>
                      <a:noFill/>
                    </a:ln>
                  </pic:spPr>
                </pic:pic>
              </a:graphicData>
            </a:graphic>
          </wp:inline>
        </w:drawing>
      </w:r>
    </w:p>
    <w:p>
      <w:pPr>
        <w:pStyle w:val="148"/>
        <w:rPr>
          <w:rFonts w:ascii="Times New Roman" w:cs="Times New Roman"/>
        </w:rPr>
      </w:pPr>
      <w:r>
        <w:rPr>
          <w:rFonts w:ascii="Times New Roman" w:cs="Times New Roman"/>
        </w:rPr>
        <w:drawing>
          <wp:inline distT="0" distB="0" distL="114300" distR="114300">
            <wp:extent cx="5685790" cy="7847330"/>
            <wp:effectExtent l="0" t="0" r="10160" b="1270"/>
            <wp:docPr id="7" name="Picture 4" descr="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Picture 4" descr="3"/>
                    <pic:cNvPicPr>
                      <a:picLocks noChangeAspect="true"/>
                    </pic:cNvPicPr>
                  </pic:nvPicPr>
                  <pic:blipFill>
                    <a:blip r:embed="rId16"/>
                    <a:srcRect l="1952" t="3435" r="2190" b="2997"/>
                    <a:stretch>
                      <a:fillRect/>
                    </a:stretch>
                  </pic:blipFill>
                  <pic:spPr>
                    <a:xfrm>
                      <a:off x="0" y="0"/>
                      <a:ext cx="5685790" cy="7847330"/>
                    </a:xfrm>
                    <a:prstGeom prst="rect">
                      <a:avLst/>
                    </a:prstGeom>
                    <a:noFill/>
                    <a:ln>
                      <a:noFill/>
                    </a:ln>
                  </pic:spPr>
                </pic:pic>
              </a:graphicData>
            </a:graphic>
          </wp:inline>
        </w:drawing>
      </w:r>
    </w:p>
    <w:p>
      <w:pPr>
        <w:rPr>
          <w:color w:val="000000"/>
        </w:rPr>
        <w:sectPr>
          <w:pgSz w:w="11906" w:h="16838" w:orient="landscape"/>
          <w:pgMar w:top="2098" w:right="1531" w:bottom="1984" w:left="1531" w:header="1418" w:footer="1304" w:gutter="0"/>
          <w:cols w:space="720" w:num="1"/>
          <w:docGrid w:linePitch="312" w:charSpace="0"/>
        </w:sectPr>
      </w:pPr>
    </w:p>
    <w:p>
      <w:pPr>
        <w:spacing w:line="400" w:lineRule="exact"/>
        <w:jc w:val="center"/>
        <w:rPr>
          <w:rFonts w:eastAsia="方正黑体_GBK"/>
          <w:bCs/>
          <w:color w:val="000000"/>
          <w:sz w:val="30"/>
          <w:szCs w:val="30"/>
        </w:rPr>
      </w:pPr>
      <w:r>
        <w:rPr>
          <w:rFonts w:hint="eastAsia" w:eastAsia="方正黑体_GBK"/>
          <w:bCs/>
          <w:color w:val="000000"/>
          <w:sz w:val="30"/>
          <w:szCs w:val="30"/>
        </w:rPr>
        <w:t>黔江区商贸物流发展“十四五”规划重大项目库</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754"/>
        <w:gridCol w:w="2906"/>
        <w:gridCol w:w="1101"/>
        <w:gridCol w:w="989"/>
        <w:gridCol w:w="923"/>
        <w:gridCol w:w="944"/>
        <w:gridCol w:w="1308"/>
        <w:gridCol w:w="1046"/>
        <w:gridCol w:w="1171"/>
        <w:gridCol w:w="876"/>
        <w:gridCol w:w="1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blHeader/>
        </w:trPr>
        <w:tc>
          <w:tcPr>
            <w:tcW w:w="819" w:type="dxa"/>
            <w:vMerge w:val="restart"/>
            <w:noWrap w:val="0"/>
            <w:vAlign w:val="center"/>
          </w:tcPr>
          <w:p>
            <w:pPr>
              <w:widowControl/>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序号</w:t>
            </w:r>
          </w:p>
        </w:tc>
        <w:tc>
          <w:tcPr>
            <w:tcW w:w="1754" w:type="dxa"/>
            <w:vMerge w:val="restart"/>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项目名称</w:t>
            </w:r>
          </w:p>
        </w:tc>
        <w:tc>
          <w:tcPr>
            <w:tcW w:w="2906" w:type="dxa"/>
            <w:vMerge w:val="restart"/>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主要建设内容及规模</w:t>
            </w:r>
          </w:p>
        </w:tc>
        <w:tc>
          <w:tcPr>
            <w:tcW w:w="1101" w:type="dxa"/>
            <w:vMerge w:val="restart"/>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建设年限</w:t>
            </w:r>
          </w:p>
        </w:tc>
        <w:tc>
          <w:tcPr>
            <w:tcW w:w="989" w:type="dxa"/>
            <w:vMerge w:val="restart"/>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投资性质</w:t>
            </w:r>
          </w:p>
        </w:tc>
        <w:tc>
          <w:tcPr>
            <w:tcW w:w="923" w:type="dxa"/>
            <w:vMerge w:val="restart"/>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总投资（万元）</w:t>
            </w:r>
          </w:p>
        </w:tc>
        <w:tc>
          <w:tcPr>
            <w:tcW w:w="2252" w:type="dxa"/>
            <w:gridSpan w:val="2"/>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资金来源（万元）</w:t>
            </w:r>
          </w:p>
        </w:tc>
        <w:tc>
          <w:tcPr>
            <w:tcW w:w="1046" w:type="dxa"/>
            <w:vMerge w:val="restart"/>
            <w:noWrap w:val="0"/>
            <w:vAlign w:val="center"/>
          </w:tcPr>
          <w:p>
            <w:pPr>
              <w:widowControl/>
              <w:jc w:val="center"/>
              <w:textAlignment w:val="center"/>
              <w:rPr>
                <w:color w:val="000000"/>
                <w:sz w:val="20"/>
                <w:szCs w:val="20"/>
              </w:rPr>
            </w:pPr>
            <w:r>
              <w:rPr>
                <w:color w:val="000000"/>
                <w:kern w:val="0"/>
                <w:sz w:val="20"/>
                <w:szCs w:val="20"/>
                <w:lang w:bidi="ar"/>
              </w:rPr>
              <w:t>“</w:t>
            </w:r>
            <w:r>
              <w:rPr>
                <w:rFonts w:hint="eastAsia" w:ascii="方正黑体_GBK" w:hAnsi="方正黑体_GBK" w:eastAsia="方正黑体_GBK" w:cs="方正黑体_GBK"/>
                <w:color w:val="000000"/>
                <w:kern w:val="0"/>
                <w:sz w:val="20"/>
                <w:szCs w:val="20"/>
                <w:lang w:bidi="ar"/>
              </w:rPr>
              <w:t>十四五</w:t>
            </w:r>
            <w:r>
              <w:rPr>
                <w:color w:val="000000"/>
                <w:kern w:val="0"/>
                <w:sz w:val="20"/>
                <w:szCs w:val="20"/>
                <w:lang w:bidi="ar"/>
              </w:rPr>
              <w:t>”</w:t>
            </w:r>
            <w:r>
              <w:rPr>
                <w:rFonts w:hint="eastAsia" w:ascii="方正黑体_GBK" w:hAnsi="方正黑体_GBK" w:eastAsia="方正黑体_GBK" w:cs="方正黑体_GBK"/>
                <w:color w:val="000000"/>
                <w:kern w:val="0"/>
                <w:sz w:val="20"/>
                <w:szCs w:val="20"/>
                <w:lang w:bidi="ar"/>
              </w:rPr>
              <w:t>期间拟完成投资（万元）</w:t>
            </w:r>
          </w:p>
        </w:tc>
        <w:tc>
          <w:tcPr>
            <w:tcW w:w="1171" w:type="dxa"/>
            <w:vMerge w:val="restart"/>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主管部门</w:t>
            </w:r>
          </w:p>
        </w:tc>
        <w:tc>
          <w:tcPr>
            <w:tcW w:w="876" w:type="dxa"/>
            <w:vMerge w:val="restart"/>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是否符合国市资金相关方向</w:t>
            </w:r>
          </w:p>
        </w:tc>
        <w:tc>
          <w:tcPr>
            <w:tcW w:w="1057" w:type="dxa"/>
            <w:vMerge w:val="restart"/>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blHeader/>
        </w:trPr>
        <w:tc>
          <w:tcPr>
            <w:tcW w:w="819" w:type="dxa"/>
            <w:vMerge w:val="continue"/>
            <w:noWrap w:val="0"/>
            <w:vAlign w:val="center"/>
          </w:tcPr>
          <w:p>
            <w:pPr>
              <w:jc w:val="center"/>
              <w:rPr>
                <w:rFonts w:hint="eastAsia" w:ascii="方正黑体_GBK" w:hAnsi="方正黑体_GBK" w:eastAsia="方正黑体_GBK" w:cs="方正黑体_GBK"/>
                <w:color w:val="000000"/>
                <w:sz w:val="20"/>
                <w:szCs w:val="20"/>
              </w:rPr>
            </w:pPr>
          </w:p>
        </w:tc>
        <w:tc>
          <w:tcPr>
            <w:tcW w:w="1754" w:type="dxa"/>
            <w:vMerge w:val="continue"/>
            <w:noWrap w:val="0"/>
            <w:vAlign w:val="center"/>
          </w:tcPr>
          <w:p>
            <w:pPr>
              <w:jc w:val="center"/>
              <w:rPr>
                <w:rFonts w:hint="eastAsia" w:ascii="方正黑体_GBK" w:hAnsi="方正黑体_GBK" w:eastAsia="方正黑体_GBK" w:cs="方正黑体_GBK"/>
                <w:color w:val="000000"/>
                <w:sz w:val="20"/>
                <w:szCs w:val="20"/>
              </w:rPr>
            </w:pPr>
          </w:p>
        </w:tc>
        <w:tc>
          <w:tcPr>
            <w:tcW w:w="2906" w:type="dxa"/>
            <w:vMerge w:val="continue"/>
            <w:noWrap w:val="0"/>
            <w:vAlign w:val="center"/>
          </w:tcPr>
          <w:p>
            <w:pPr>
              <w:jc w:val="center"/>
              <w:rPr>
                <w:rFonts w:hint="eastAsia" w:ascii="方正黑体_GBK" w:hAnsi="方正黑体_GBK" w:eastAsia="方正黑体_GBK" w:cs="方正黑体_GBK"/>
                <w:color w:val="000000"/>
                <w:sz w:val="20"/>
                <w:szCs w:val="20"/>
              </w:rPr>
            </w:pPr>
          </w:p>
        </w:tc>
        <w:tc>
          <w:tcPr>
            <w:tcW w:w="1101" w:type="dxa"/>
            <w:vMerge w:val="continue"/>
            <w:noWrap w:val="0"/>
            <w:vAlign w:val="center"/>
          </w:tcPr>
          <w:p>
            <w:pPr>
              <w:jc w:val="center"/>
              <w:rPr>
                <w:rFonts w:hint="eastAsia" w:ascii="方正黑体_GBK" w:hAnsi="方正黑体_GBK" w:eastAsia="方正黑体_GBK" w:cs="方正黑体_GBK"/>
                <w:color w:val="000000"/>
                <w:sz w:val="20"/>
                <w:szCs w:val="20"/>
              </w:rPr>
            </w:pPr>
          </w:p>
        </w:tc>
        <w:tc>
          <w:tcPr>
            <w:tcW w:w="989" w:type="dxa"/>
            <w:vMerge w:val="continue"/>
            <w:noWrap w:val="0"/>
            <w:vAlign w:val="center"/>
          </w:tcPr>
          <w:p>
            <w:pPr>
              <w:jc w:val="center"/>
              <w:rPr>
                <w:rFonts w:hint="eastAsia" w:ascii="方正黑体_GBK" w:hAnsi="方正黑体_GBK" w:eastAsia="方正黑体_GBK" w:cs="方正黑体_GBK"/>
                <w:color w:val="000000"/>
                <w:sz w:val="20"/>
                <w:szCs w:val="20"/>
              </w:rPr>
            </w:pPr>
          </w:p>
        </w:tc>
        <w:tc>
          <w:tcPr>
            <w:tcW w:w="923" w:type="dxa"/>
            <w:vMerge w:val="continue"/>
            <w:noWrap w:val="0"/>
            <w:vAlign w:val="center"/>
          </w:tcPr>
          <w:p>
            <w:pPr>
              <w:jc w:val="center"/>
              <w:rPr>
                <w:rFonts w:hint="eastAsia" w:ascii="方正黑体_GBK" w:hAnsi="方正黑体_GBK" w:eastAsia="方正黑体_GBK" w:cs="方正黑体_GBK"/>
                <w:color w:val="000000"/>
                <w:sz w:val="20"/>
                <w:szCs w:val="20"/>
              </w:rPr>
            </w:pPr>
          </w:p>
        </w:tc>
        <w:tc>
          <w:tcPr>
            <w:tcW w:w="944" w:type="dxa"/>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国市补助</w:t>
            </w:r>
          </w:p>
        </w:tc>
        <w:tc>
          <w:tcPr>
            <w:tcW w:w="1308" w:type="dxa"/>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业主自筹</w:t>
            </w:r>
          </w:p>
        </w:tc>
        <w:tc>
          <w:tcPr>
            <w:tcW w:w="1046" w:type="dxa"/>
            <w:vMerge w:val="continue"/>
            <w:noWrap w:val="0"/>
            <w:vAlign w:val="center"/>
          </w:tcPr>
          <w:p>
            <w:pPr>
              <w:jc w:val="center"/>
              <w:rPr>
                <w:color w:val="000000"/>
                <w:sz w:val="20"/>
                <w:szCs w:val="20"/>
              </w:rPr>
            </w:pPr>
          </w:p>
        </w:tc>
        <w:tc>
          <w:tcPr>
            <w:tcW w:w="1171" w:type="dxa"/>
            <w:vMerge w:val="continue"/>
            <w:noWrap w:val="0"/>
            <w:vAlign w:val="center"/>
          </w:tcPr>
          <w:p>
            <w:pPr>
              <w:jc w:val="center"/>
              <w:rPr>
                <w:rFonts w:hint="eastAsia" w:ascii="方正黑体_GBK" w:hAnsi="方正黑体_GBK" w:eastAsia="方正黑体_GBK" w:cs="方正黑体_GBK"/>
                <w:color w:val="000000"/>
                <w:sz w:val="20"/>
                <w:szCs w:val="20"/>
              </w:rPr>
            </w:pPr>
          </w:p>
        </w:tc>
        <w:tc>
          <w:tcPr>
            <w:tcW w:w="876" w:type="dxa"/>
            <w:vMerge w:val="continue"/>
            <w:noWrap w:val="0"/>
            <w:vAlign w:val="center"/>
          </w:tcPr>
          <w:p>
            <w:pPr>
              <w:jc w:val="center"/>
              <w:rPr>
                <w:rFonts w:hint="eastAsia" w:ascii="方正黑体_GBK" w:hAnsi="方正黑体_GBK" w:eastAsia="方正黑体_GBK" w:cs="方正黑体_GBK"/>
                <w:color w:val="000000"/>
                <w:sz w:val="20"/>
                <w:szCs w:val="20"/>
              </w:rPr>
            </w:pPr>
          </w:p>
        </w:tc>
        <w:tc>
          <w:tcPr>
            <w:tcW w:w="1057" w:type="dxa"/>
            <w:vMerge w:val="continue"/>
            <w:noWrap w:val="0"/>
            <w:vAlign w:val="center"/>
          </w:tcPr>
          <w:p>
            <w:pPr>
              <w:jc w:val="center"/>
              <w:rPr>
                <w:rFonts w:hint="eastAsia" w:ascii="方正黑体_GBK" w:hAnsi="方正黑体_GBK" w:eastAsia="方正黑体_GBK" w:cs="方正黑体_GBK"/>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580" w:type="dxa"/>
            <w:gridSpan w:val="4"/>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合计（</w:t>
            </w:r>
            <w:r>
              <w:rPr>
                <w:rFonts w:eastAsia="方正黑体_GBK"/>
                <w:color w:val="000000"/>
                <w:kern w:val="0"/>
                <w:sz w:val="20"/>
                <w:szCs w:val="20"/>
                <w:lang w:bidi="ar"/>
              </w:rPr>
              <w:t>34</w:t>
            </w:r>
            <w:r>
              <w:rPr>
                <w:rFonts w:hint="eastAsia" w:ascii="方正黑体_GBK" w:hAnsi="方正黑体_GBK" w:eastAsia="方正黑体_GBK" w:cs="方正黑体_GBK"/>
                <w:color w:val="000000"/>
                <w:kern w:val="0"/>
                <w:sz w:val="20"/>
                <w:szCs w:val="20"/>
                <w:lang w:bidi="ar"/>
              </w:rPr>
              <w:t>项）</w:t>
            </w:r>
          </w:p>
        </w:tc>
        <w:tc>
          <w:tcPr>
            <w:tcW w:w="989" w:type="dxa"/>
            <w:noWrap w:val="0"/>
            <w:vAlign w:val="center"/>
          </w:tcPr>
          <w:p>
            <w:pPr>
              <w:jc w:val="center"/>
              <w:rPr>
                <w:color w:val="000000"/>
                <w:sz w:val="20"/>
                <w:szCs w:val="20"/>
              </w:rPr>
            </w:pP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1144700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142850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1001850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1144700</w:t>
            </w:r>
          </w:p>
        </w:tc>
        <w:tc>
          <w:tcPr>
            <w:tcW w:w="1171" w:type="dxa"/>
            <w:noWrap w:val="0"/>
            <w:vAlign w:val="center"/>
          </w:tcPr>
          <w:p>
            <w:pPr>
              <w:jc w:val="center"/>
              <w:rPr>
                <w:color w:val="000000"/>
                <w:sz w:val="20"/>
                <w:szCs w:val="20"/>
              </w:rPr>
            </w:pPr>
          </w:p>
        </w:tc>
        <w:tc>
          <w:tcPr>
            <w:tcW w:w="876" w:type="dxa"/>
            <w:noWrap w:val="0"/>
            <w:vAlign w:val="center"/>
          </w:tcPr>
          <w:p>
            <w:pPr>
              <w:rPr>
                <w:color w:val="000000"/>
                <w:sz w:val="20"/>
                <w:szCs w:val="20"/>
              </w:rPr>
            </w:pPr>
          </w:p>
        </w:tc>
        <w:tc>
          <w:tcPr>
            <w:tcW w:w="1057" w:type="dxa"/>
            <w:noWrap w:val="0"/>
            <w:vAlign w:val="center"/>
          </w:tcPr>
          <w:p>
            <w:pPr>
              <w:rPr>
                <w:rFonts w:hint="eastAsia" w:ascii="方正黑体_GBK" w:hAnsi="方正黑体_GBK" w:eastAsia="方正黑体_GBK" w:cs="方正黑体_GBK"/>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9" w:type="dxa"/>
            <w:noWrap w:val="0"/>
            <w:vAlign w:val="center"/>
          </w:tcPr>
          <w:p>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一</w:t>
            </w:r>
          </w:p>
        </w:tc>
        <w:tc>
          <w:tcPr>
            <w:tcW w:w="4660" w:type="dxa"/>
            <w:gridSpan w:val="2"/>
            <w:noWrap w:val="0"/>
            <w:vAlign w:val="center"/>
          </w:tcPr>
          <w:p>
            <w:pPr>
              <w:widowControl/>
              <w:jc w:val="left"/>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打造武陵山区消费中心城市（</w:t>
            </w:r>
            <w:r>
              <w:rPr>
                <w:rFonts w:eastAsia="方正黑体_GBK"/>
                <w:color w:val="000000"/>
                <w:kern w:val="0"/>
                <w:sz w:val="20"/>
                <w:szCs w:val="20"/>
                <w:lang w:bidi="ar"/>
              </w:rPr>
              <w:t>15</w:t>
            </w:r>
            <w:r>
              <w:rPr>
                <w:rFonts w:hint="eastAsia" w:ascii="方正黑体_GBK" w:hAnsi="方正黑体_GBK" w:eastAsia="方正黑体_GBK" w:cs="方正黑体_GBK"/>
                <w:color w:val="000000"/>
                <w:kern w:val="0"/>
                <w:sz w:val="20"/>
                <w:szCs w:val="20"/>
                <w:lang w:bidi="ar"/>
              </w:rPr>
              <w:t>项）</w:t>
            </w:r>
          </w:p>
        </w:tc>
        <w:tc>
          <w:tcPr>
            <w:tcW w:w="1101" w:type="dxa"/>
            <w:noWrap w:val="0"/>
            <w:vAlign w:val="center"/>
          </w:tcPr>
          <w:p>
            <w:pPr>
              <w:jc w:val="center"/>
              <w:rPr>
                <w:color w:val="000000"/>
                <w:sz w:val="20"/>
                <w:szCs w:val="20"/>
              </w:rPr>
            </w:pPr>
          </w:p>
        </w:tc>
        <w:tc>
          <w:tcPr>
            <w:tcW w:w="989" w:type="dxa"/>
            <w:noWrap w:val="0"/>
            <w:vAlign w:val="center"/>
          </w:tcPr>
          <w:p>
            <w:pPr>
              <w:jc w:val="center"/>
              <w:rPr>
                <w:color w:val="000000"/>
                <w:sz w:val="20"/>
                <w:szCs w:val="20"/>
              </w:rPr>
            </w:pP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288000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3000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285000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288000</w:t>
            </w:r>
          </w:p>
        </w:tc>
        <w:tc>
          <w:tcPr>
            <w:tcW w:w="1171" w:type="dxa"/>
            <w:noWrap w:val="0"/>
            <w:vAlign w:val="center"/>
          </w:tcPr>
          <w:p>
            <w:pPr>
              <w:jc w:val="center"/>
              <w:rPr>
                <w:color w:val="000000"/>
                <w:sz w:val="20"/>
                <w:szCs w:val="20"/>
              </w:rPr>
            </w:pPr>
          </w:p>
        </w:tc>
        <w:tc>
          <w:tcPr>
            <w:tcW w:w="876" w:type="dxa"/>
            <w:noWrap w:val="0"/>
            <w:vAlign w:val="center"/>
          </w:tcPr>
          <w:p>
            <w:pPr>
              <w:rPr>
                <w:color w:val="000000"/>
                <w:sz w:val="20"/>
                <w:szCs w:val="20"/>
              </w:rPr>
            </w:pPr>
          </w:p>
        </w:tc>
        <w:tc>
          <w:tcPr>
            <w:tcW w:w="1057" w:type="dxa"/>
            <w:noWrap w:val="0"/>
            <w:vAlign w:val="center"/>
          </w:tcPr>
          <w:p>
            <w:pPr>
              <w:rPr>
                <w:rFonts w:hint="eastAsia" w:ascii="方正黑体_GBK" w:hAnsi="方正黑体_GBK" w:eastAsia="方正黑体_GBK" w:cs="方正黑体_GBK"/>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9" w:type="dxa"/>
            <w:noWrap w:val="0"/>
            <w:vAlign w:val="center"/>
          </w:tcPr>
          <w:p>
            <w:pPr>
              <w:widowControl/>
              <w:jc w:val="center"/>
              <w:textAlignment w:val="center"/>
              <w:rPr>
                <w:rFonts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（一）</w:t>
            </w:r>
          </w:p>
        </w:tc>
        <w:tc>
          <w:tcPr>
            <w:tcW w:w="4660" w:type="dxa"/>
            <w:gridSpan w:val="2"/>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中心城区商圈（</w:t>
            </w:r>
            <w:r>
              <w:rPr>
                <w:rFonts w:eastAsia="方正楷体_GBK"/>
                <w:b/>
                <w:bCs/>
                <w:color w:val="000000"/>
                <w:kern w:val="0"/>
                <w:sz w:val="20"/>
                <w:szCs w:val="20"/>
                <w:lang w:bidi="ar"/>
              </w:rPr>
              <w:t>2</w:t>
            </w:r>
            <w:r>
              <w:rPr>
                <w:rFonts w:hint="eastAsia" w:ascii="方正楷体_GBK" w:hAnsi="方正楷体_GBK" w:eastAsia="方正楷体_GBK" w:cs="方正楷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80000</w:t>
            </w:r>
          </w:p>
        </w:tc>
        <w:tc>
          <w:tcPr>
            <w:tcW w:w="944" w:type="dxa"/>
            <w:noWrap w:val="0"/>
            <w:vAlign w:val="center"/>
          </w:tcPr>
          <w:p>
            <w:pPr>
              <w:jc w:val="center"/>
              <w:rPr>
                <w:b/>
                <w:bCs/>
                <w:color w:val="000000"/>
                <w:sz w:val="20"/>
                <w:szCs w:val="20"/>
              </w:rPr>
            </w:pP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80000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80000</w:t>
            </w:r>
          </w:p>
        </w:tc>
        <w:tc>
          <w:tcPr>
            <w:tcW w:w="1171" w:type="dxa"/>
            <w:noWrap w:val="0"/>
            <w:vAlign w:val="center"/>
          </w:tcPr>
          <w:p>
            <w:pPr>
              <w:jc w:val="center"/>
              <w:rPr>
                <w:color w:val="000000"/>
                <w:sz w:val="20"/>
                <w:szCs w:val="20"/>
              </w:rPr>
            </w:pPr>
          </w:p>
        </w:tc>
        <w:tc>
          <w:tcPr>
            <w:tcW w:w="876" w:type="dxa"/>
            <w:noWrap w:val="0"/>
            <w:vAlign w:val="center"/>
          </w:tcPr>
          <w:p>
            <w:pPr>
              <w:rPr>
                <w:color w:val="000000"/>
                <w:sz w:val="20"/>
                <w:szCs w:val="20"/>
              </w:rPr>
            </w:pPr>
          </w:p>
        </w:tc>
        <w:tc>
          <w:tcPr>
            <w:tcW w:w="1057" w:type="dxa"/>
            <w:noWrap w:val="0"/>
            <w:vAlign w:val="center"/>
          </w:tcPr>
          <w:p>
            <w:pPr>
              <w:rPr>
                <w:rFonts w:hint="eastAsia" w:ascii="方正黑体_GBK" w:hAnsi="方正黑体_GBK" w:eastAsia="方正黑体_GBK" w:cs="方正黑体_GBK"/>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4"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w:t>
            </w:r>
          </w:p>
        </w:tc>
        <w:tc>
          <w:tcPr>
            <w:tcW w:w="1754" w:type="dxa"/>
            <w:noWrap w:val="0"/>
            <w:vAlign w:val="center"/>
          </w:tcPr>
          <w:p>
            <w:pPr>
              <w:widowControl/>
              <w:jc w:val="center"/>
              <w:textAlignment w:val="center"/>
              <w:rPr>
                <w:rFonts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新城正阳商圈</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加快推进三磊商业综合体建设，完善配套基础设施，积极打造智慧商场、绿色商场，建设民族文化展示中心、旅游消费品创新创意中心。</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大十字核心商圈</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推动大十字购物广场与南海鑫城、解放路商业街、武陵水岸、三岔河休闲美食长廊等联动发展，加快推动实体零售数字化、智慧化升级改造，完善星级酒店等服务功能，优化消费环境。</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30000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30000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30000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（二）</w:t>
            </w:r>
          </w:p>
        </w:tc>
        <w:tc>
          <w:tcPr>
            <w:tcW w:w="4660" w:type="dxa"/>
            <w:gridSpan w:val="2"/>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特色商业街（</w:t>
            </w:r>
            <w:r>
              <w:rPr>
                <w:rFonts w:eastAsia="方正楷体_GBK"/>
                <w:b/>
                <w:bCs/>
                <w:color w:val="000000"/>
                <w:kern w:val="0"/>
                <w:sz w:val="20"/>
                <w:szCs w:val="20"/>
                <w:lang w:bidi="ar"/>
              </w:rPr>
              <w:t>3</w:t>
            </w:r>
            <w:r>
              <w:rPr>
                <w:rFonts w:hint="eastAsia" w:ascii="方正楷体_GBK" w:hAnsi="方正楷体_GBK" w:eastAsia="方正楷体_GBK" w:cs="方正楷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38000</w:t>
            </w:r>
          </w:p>
        </w:tc>
        <w:tc>
          <w:tcPr>
            <w:tcW w:w="944" w:type="dxa"/>
            <w:noWrap w:val="0"/>
            <w:vAlign w:val="center"/>
          </w:tcPr>
          <w:p>
            <w:pPr>
              <w:jc w:val="center"/>
              <w:rPr>
                <w:b/>
                <w:bCs/>
                <w:color w:val="000000"/>
                <w:sz w:val="20"/>
                <w:szCs w:val="20"/>
              </w:rPr>
            </w:pP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38000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38000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2"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3</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濯水非遗小镇商业街</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利用濯水古镇景区现有基础设施，打造集非遗美食、非遗手工艺、非遗</w:t>
            </w:r>
            <w:r>
              <w:rPr>
                <w:rFonts w:eastAsia="方正仿宋_GBK"/>
                <w:color w:val="000000"/>
                <w:kern w:val="0"/>
                <w:sz w:val="20"/>
                <w:szCs w:val="20"/>
                <w:lang w:bidi="ar"/>
              </w:rPr>
              <w:t>MIX</w:t>
            </w:r>
            <w:r>
              <w:rPr>
                <w:rFonts w:hint="eastAsia" w:ascii="方正仿宋_GBK" w:hAnsi="方正仿宋_GBK" w:eastAsia="方正仿宋_GBK" w:cs="方正仿宋_GBK"/>
                <w:color w:val="000000"/>
                <w:kern w:val="0"/>
                <w:sz w:val="20"/>
                <w:szCs w:val="20"/>
                <w:lang w:bidi="ar"/>
              </w:rPr>
              <w:t>红色文化三大主题街区，收集整理黔江及武陵山区域各类非遗制作技艺，开发既有地域特色又有时尚元素的非遗产品，打造武陵山区非遗小镇商业街（区）。</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2022</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社会资本</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8000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8000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8000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区商务委、区文旅委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市级规划关注项目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5"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4</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中央公园十字金街</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在中科中央公园城打造一条高端商业步行街，推进商业业态、文态、形态和生态一体化集聚发展，开设智能家居、跨境电商等展示展销中心，打造集休闲、娱乐、购物于一体的高品质商业步行街。</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社会资本</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25000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25000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25000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市级规划关注项目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5</w:t>
            </w:r>
          </w:p>
        </w:tc>
        <w:tc>
          <w:tcPr>
            <w:tcW w:w="1754" w:type="dxa"/>
            <w:noWrap w:val="0"/>
            <w:vAlign w:val="center"/>
          </w:tcPr>
          <w:p>
            <w:pPr>
              <w:widowControl/>
              <w:jc w:val="center"/>
              <w:textAlignment w:val="center"/>
              <w:rPr>
                <w:color w:val="000000"/>
                <w:sz w:val="20"/>
                <w:szCs w:val="20"/>
              </w:rPr>
            </w:pPr>
            <w:r>
              <w:rPr>
                <w:color w:val="000000"/>
                <w:kern w:val="0"/>
                <w:sz w:val="20"/>
                <w:szCs w:val="20"/>
                <w:lang w:bidi="ar"/>
              </w:rPr>
              <w:t>“</w:t>
            </w:r>
            <w:r>
              <w:rPr>
                <w:rFonts w:hint="eastAsia" w:ascii="方正仿宋_GBK" w:hAnsi="方正仿宋_GBK" w:eastAsia="方正仿宋_GBK" w:cs="方正仿宋_GBK"/>
                <w:color w:val="000000"/>
                <w:kern w:val="0"/>
                <w:sz w:val="20"/>
                <w:szCs w:val="20"/>
                <w:lang w:bidi="ar"/>
              </w:rPr>
              <w:t>黔江玖街</w:t>
            </w:r>
            <w:r>
              <w:rPr>
                <w:color w:val="000000"/>
                <w:kern w:val="0"/>
                <w:sz w:val="20"/>
                <w:szCs w:val="20"/>
                <w:lang w:bidi="ar"/>
              </w:rPr>
              <w:t>”</w:t>
            </w:r>
            <w:r>
              <w:rPr>
                <w:rFonts w:hint="eastAsia" w:ascii="方正仿宋_GBK" w:hAnsi="方正仿宋_GBK" w:eastAsia="方正仿宋_GBK" w:cs="方正仿宋_GBK"/>
                <w:color w:val="000000"/>
                <w:kern w:val="0"/>
                <w:sz w:val="20"/>
                <w:szCs w:val="20"/>
                <w:lang w:bidi="ar"/>
              </w:rPr>
              <w:t>特色夜市</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建设规模约</w:t>
            </w:r>
            <w:r>
              <w:rPr>
                <w:rFonts w:eastAsia="方正仿宋_GBK"/>
                <w:color w:val="000000"/>
                <w:kern w:val="0"/>
                <w:sz w:val="20"/>
                <w:szCs w:val="20"/>
                <w:lang w:bidi="ar"/>
              </w:rPr>
              <w:t>40000</w:t>
            </w:r>
            <w:r>
              <w:rPr>
                <w:rFonts w:hint="eastAsia" w:ascii="方正仿宋_GBK" w:hAnsi="方正仿宋_GBK" w:eastAsia="方正仿宋_GBK" w:cs="方正仿宋_GBK"/>
                <w:color w:val="000000"/>
                <w:kern w:val="0"/>
                <w:sz w:val="20"/>
                <w:szCs w:val="20"/>
                <w:lang w:bidi="ar"/>
              </w:rPr>
              <w:t>平方米，开发电竞、电玩、歌舞、街头演艺等夜间娱乐项目，策划组织系列电影、演艺、非遗、文创、展览等</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不夜黔江</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文化艺术主题活动。</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2021-2023</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社会资本</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（三）</w:t>
            </w:r>
          </w:p>
        </w:tc>
        <w:tc>
          <w:tcPr>
            <w:tcW w:w="4660" w:type="dxa"/>
            <w:gridSpan w:val="2"/>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会展业（</w:t>
            </w:r>
            <w:r>
              <w:rPr>
                <w:rFonts w:eastAsia="方正楷体_GBK"/>
                <w:b/>
                <w:bCs/>
                <w:color w:val="000000"/>
                <w:kern w:val="0"/>
                <w:sz w:val="20"/>
                <w:szCs w:val="20"/>
                <w:lang w:bidi="ar"/>
              </w:rPr>
              <w:t>1</w:t>
            </w:r>
            <w:r>
              <w:rPr>
                <w:rFonts w:hint="eastAsia" w:ascii="方正楷体_GBK" w:hAnsi="方正楷体_GBK" w:eastAsia="方正楷体_GBK" w:cs="方正楷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50000</w:t>
            </w:r>
          </w:p>
        </w:tc>
        <w:tc>
          <w:tcPr>
            <w:tcW w:w="944" w:type="dxa"/>
            <w:noWrap w:val="0"/>
            <w:vAlign w:val="center"/>
          </w:tcPr>
          <w:p>
            <w:pPr>
              <w:jc w:val="center"/>
              <w:rPr>
                <w:b/>
                <w:bCs/>
                <w:color w:val="000000"/>
                <w:sz w:val="20"/>
                <w:szCs w:val="20"/>
              </w:rPr>
            </w:pP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50000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50000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6</w:t>
            </w:r>
          </w:p>
        </w:tc>
        <w:tc>
          <w:tcPr>
            <w:tcW w:w="1754"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渝东南会展中心</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在黔江文体中心规划建设</w:t>
            </w:r>
            <w:r>
              <w:rPr>
                <w:rFonts w:eastAsia="方正仿宋_GBK"/>
                <w:color w:val="000000"/>
                <w:kern w:val="0"/>
                <w:sz w:val="20"/>
                <w:szCs w:val="20"/>
                <w:lang w:bidi="ar"/>
              </w:rPr>
              <w:t>2-5</w:t>
            </w:r>
            <w:r>
              <w:rPr>
                <w:rFonts w:hint="eastAsia" w:ascii="方正仿宋_GBK" w:hAnsi="方正仿宋_GBK" w:eastAsia="方正仿宋_GBK" w:cs="方正仿宋_GBK"/>
                <w:color w:val="000000"/>
                <w:kern w:val="0"/>
                <w:sz w:val="20"/>
                <w:szCs w:val="20"/>
                <w:lang w:bidi="ar"/>
              </w:rPr>
              <w:t>万平方米的会展场馆。</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社会资本</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市级规划关注项目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（四）</w:t>
            </w:r>
          </w:p>
        </w:tc>
        <w:tc>
          <w:tcPr>
            <w:tcW w:w="4660" w:type="dxa"/>
            <w:gridSpan w:val="2"/>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便民商业服务设施（</w:t>
            </w:r>
            <w:r>
              <w:rPr>
                <w:rFonts w:eastAsia="方正楷体_GBK"/>
                <w:b/>
                <w:bCs/>
                <w:color w:val="000000"/>
                <w:kern w:val="0"/>
                <w:sz w:val="20"/>
                <w:szCs w:val="20"/>
                <w:lang w:bidi="ar"/>
              </w:rPr>
              <w:t>2</w:t>
            </w:r>
            <w:r>
              <w:rPr>
                <w:rFonts w:hint="eastAsia" w:ascii="方正楷体_GBK" w:hAnsi="方正楷体_GBK" w:eastAsia="方正楷体_GBK" w:cs="方正楷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21000</w:t>
            </w:r>
          </w:p>
        </w:tc>
        <w:tc>
          <w:tcPr>
            <w:tcW w:w="944" w:type="dxa"/>
            <w:noWrap w:val="0"/>
            <w:vAlign w:val="center"/>
          </w:tcPr>
          <w:p>
            <w:pPr>
              <w:widowControl/>
              <w:jc w:val="center"/>
              <w:textAlignment w:val="center"/>
              <w:rPr>
                <w:b/>
                <w:bCs/>
                <w:color w:val="000000"/>
                <w:sz w:val="20"/>
                <w:szCs w:val="20"/>
              </w:rPr>
            </w:pPr>
            <w:r>
              <w:rPr>
                <w:b/>
                <w:bCs/>
                <w:color w:val="000000"/>
                <w:kern w:val="0"/>
                <w:sz w:val="20"/>
                <w:szCs w:val="20"/>
                <w:lang w:bidi="ar"/>
              </w:rPr>
              <w:t>1000</w:t>
            </w: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20000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21000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7</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菜市场新建、改造项目</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新建或改造城区菜市场</w:t>
            </w:r>
            <w:r>
              <w:rPr>
                <w:rFonts w:eastAsia="方正仿宋_GBK"/>
                <w:color w:val="000000"/>
                <w:kern w:val="0"/>
                <w:sz w:val="20"/>
                <w:szCs w:val="20"/>
                <w:lang w:bidi="ar"/>
              </w:rPr>
              <w:t>5</w:t>
            </w:r>
            <w:r>
              <w:rPr>
                <w:rFonts w:hint="eastAsia" w:ascii="方正仿宋_GBK" w:hAnsi="方正仿宋_GBK" w:eastAsia="方正仿宋_GBK" w:cs="方正仿宋_GBK"/>
                <w:color w:val="000000"/>
                <w:kern w:val="0"/>
                <w:sz w:val="20"/>
                <w:szCs w:val="20"/>
                <w:lang w:bidi="ar"/>
              </w:rPr>
              <w:t>个以上。</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1000</w:t>
            </w:r>
          </w:p>
        </w:tc>
        <w:tc>
          <w:tcPr>
            <w:tcW w:w="1308" w:type="dxa"/>
            <w:noWrap w:val="0"/>
            <w:vAlign w:val="center"/>
          </w:tcPr>
          <w:p>
            <w:pPr>
              <w:jc w:val="center"/>
              <w:rPr>
                <w:color w:val="000000"/>
                <w:sz w:val="20"/>
                <w:szCs w:val="20"/>
              </w:rPr>
            </w:pP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5"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8</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智慧农贸市场综合体</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新城占地面积约</w:t>
            </w:r>
            <w:r>
              <w:rPr>
                <w:rFonts w:eastAsia="方正仿宋_GBK"/>
                <w:color w:val="000000"/>
                <w:kern w:val="0"/>
                <w:sz w:val="20"/>
                <w:szCs w:val="20"/>
                <w:lang w:bidi="ar"/>
              </w:rPr>
              <w:t>30</w:t>
            </w:r>
            <w:r>
              <w:rPr>
                <w:rFonts w:hint="eastAsia" w:ascii="方正仿宋_GBK" w:hAnsi="方正仿宋_GBK" w:eastAsia="方正仿宋_GBK" w:cs="方正仿宋_GBK"/>
                <w:color w:val="000000"/>
                <w:kern w:val="0"/>
                <w:sz w:val="20"/>
                <w:szCs w:val="20"/>
                <w:lang w:bidi="ar"/>
              </w:rPr>
              <w:t>亩。建设黔江区锦绣大地生活广场和邻里中心，建设内容包括智慧农贸市场、社区生活配套、商业超市，及餐饮娱乐、文旅休闲设施等，积极创建市级公益性农产品市场建设示范区。</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区商务委、正阳工业园区管委会、区发展改革委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（五）</w:t>
            </w:r>
          </w:p>
        </w:tc>
        <w:tc>
          <w:tcPr>
            <w:tcW w:w="4660" w:type="dxa"/>
            <w:gridSpan w:val="2"/>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商业商务服务设施（</w:t>
            </w:r>
            <w:r>
              <w:rPr>
                <w:rFonts w:eastAsia="方正楷体_GBK"/>
                <w:b/>
                <w:bCs/>
                <w:color w:val="000000"/>
                <w:kern w:val="0"/>
                <w:sz w:val="20"/>
                <w:szCs w:val="20"/>
                <w:lang w:bidi="ar"/>
              </w:rPr>
              <w:t>4</w:t>
            </w:r>
            <w:r>
              <w:rPr>
                <w:rFonts w:hint="eastAsia" w:ascii="方正楷体_GBK" w:hAnsi="方正楷体_GBK" w:eastAsia="方正楷体_GBK" w:cs="方正楷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54000</w:t>
            </w:r>
          </w:p>
        </w:tc>
        <w:tc>
          <w:tcPr>
            <w:tcW w:w="944" w:type="dxa"/>
            <w:noWrap w:val="0"/>
            <w:vAlign w:val="center"/>
          </w:tcPr>
          <w:p>
            <w:pPr>
              <w:widowControl/>
              <w:jc w:val="center"/>
              <w:textAlignment w:val="center"/>
              <w:rPr>
                <w:b/>
                <w:bCs/>
                <w:color w:val="000000"/>
                <w:sz w:val="20"/>
                <w:szCs w:val="20"/>
              </w:rPr>
            </w:pPr>
            <w:r>
              <w:rPr>
                <w:b/>
                <w:bCs/>
                <w:color w:val="000000"/>
                <w:kern w:val="0"/>
                <w:sz w:val="20"/>
                <w:szCs w:val="20"/>
                <w:lang w:bidi="ar"/>
              </w:rPr>
              <w:t>2000</w:t>
            </w: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52000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54000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9</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奥特莱斯黔江购物中心</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在三磊商业综合体改建</w:t>
            </w:r>
            <w:r>
              <w:rPr>
                <w:rFonts w:eastAsia="方正仿宋_GBK"/>
                <w:color w:val="000000"/>
                <w:kern w:val="0"/>
                <w:sz w:val="20"/>
                <w:szCs w:val="20"/>
                <w:lang w:bidi="ar"/>
              </w:rPr>
              <w:t>1.6</w:t>
            </w:r>
            <w:r>
              <w:rPr>
                <w:rFonts w:hint="eastAsia" w:ascii="方正仿宋_GBK" w:hAnsi="方正仿宋_GBK" w:eastAsia="方正仿宋_GBK" w:cs="方正仿宋_GBK"/>
                <w:color w:val="000000"/>
                <w:kern w:val="0"/>
                <w:sz w:val="20"/>
                <w:szCs w:val="20"/>
                <w:lang w:bidi="ar"/>
              </w:rPr>
              <w:t>万平方米的购物中心和</w:t>
            </w:r>
            <w:r>
              <w:rPr>
                <w:rFonts w:eastAsia="方正仿宋_GBK"/>
                <w:color w:val="000000"/>
                <w:kern w:val="0"/>
                <w:sz w:val="20"/>
                <w:szCs w:val="20"/>
                <w:lang w:bidi="ar"/>
              </w:rPr>
              <w:t>2</w:t>
            </w:r>
            <w:r>
              <w:rPr>
                <w:rFonts w:hint="eastAsia" w:ascii="方正仿宋_GBK" w:hAnsi="方正仿宋_GBK" w:eastAsia="方正仿宋_GBK" w:cs="方正仿宋_GBK"/>
                <w:color w:val="000000"/>
                <w:kern w:val="0"/>
                <w:sz w:val="20"/>
                <w:szCs w:val="20"/>
                <w:lang w:bidi="ar"/>
              </w:rPr>
              <w:t>万平方米的内街商业街。</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社会资本</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10000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10</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乡镇商业设施</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在濯水、阿蓬江、黄溪、石会、马喇、太极等改造或新建乡镇商贸中心；新建或改造一批农贸市场。</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社会资本、政府投资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10000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2000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8000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11</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中大型商超建设</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w:t>
            </w:r>
            <w:r>
              <w:rPr>
                <w:rFonts w:eastAsia="方正仿宋_GBK"/>
                <w:color w:val="000000"/>
                <w:kern w:val="0"/>
                <w:sz w:val="20"/>
                <w:szCs w:val="20"/>
                <w:lang w:bidi="ar"/>
              </w:rPr>
              <w:t>5000</w:t>
            </w:r>
            <w:r>
              <w:rPr>
                <w:rFonts w:hint="eastAsia" w:ascii="方正仿宋_GBK" w:hAnsi="方正仿宋_GBK" w:eastAsia="方正仿宋_GBK" w:cs="方正仿宋_GBK"/>
                <w:color w:val="000000"/>
                <w:kern w:val="0"/>
                <w:sz w:val="20"/>
                <w:szCs w:val="20"/>
                <w:lang w:bidi="ar"/>
              </w:rPr>
              <w:t>㎡以上的中大型商场超市</w:t>
            </w:r>
            <w:r>
              <w:rPr>
                <w:rFonts w:eastAsia="方正仿宋_GBK"/>
                <w:color w:val="000000"/>
                <w:kern w:val="0"/>
                <w:sz w:val="20"/>
                <w:szCs w:val="20"/>
                <w:lang w:bidi="ar"/>
              </w:rPr>
              <w:t>3-5</w:t>
            </w:r>
            <w:r>
              <w:rPr>
                <w:rFonts w:hint="eastAsia" w:ascii="方正仿宋_GBK" w:hAnsi="方正仿宋_GBK" w:eastAsia="方正仿宋_GBK" w:cs="方正仿宋_GBK"/>
                <w:color w:val="000000"/>
                <w:kern w:val="0"/>
                <w:sz w:val="20"/>
                <w:szCs w:val="20"/>
                <w:lang w:bidi="ar"/>
              </w:rPr>
              <w:t>个。</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社会资本</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4000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4000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4000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12</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酒店建设项目</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w:t>
            </w:r>
            <w:r>
              <w:rPr>
                <w:rFonts w:eastAsia="方正仿宋_GBK"/>
                <w:color w:val="000000"/>
                <w:kern w:val="0"/>
                <w:sz w:val="20"/>
                <w:szCs w:val="20"/>
                <w:lang w:bidi="ar"/>
              </w:rPr>
              <w:t>3</w:t>
            </w:r>
            <w:r>
              <w:rPr>
                <w:rFonts w:hint="eastAsia" w:ascii="方正仿宋_GBK" w:hAnsi="方正仿宋_GBK" w:eastAsia="方正仿宋_GBK" w:cs="方正仿宋_GBK"/>
                <w:color w:val="000000"/>
                <w:kern w:val="0"/>
                <w:sz w:val="20"/>
                <w:szCs w:val="20"/>
                <w:lang w:bidi="ar"/>
              </w:rPr>
              <w:t>星级标准以上的酒店</w:t>
            </w:r>
            <w:r>
              <w:rPr>
                <w:rFonts w:eastAsia="方正仿宋_GBK"/>
                <w:color w:val="000000"/>
                <w:kern w:val="0"/>
                <w:sz w:val="20"/>
                <w:szCs w:val="20"/>
                <w:lang w:bidi="ar"/>
              </w:rPr>
              <w:t>3-5</w:t>
            </w:r>
            <w:r>
              <w:rPr>
                <w:rFonts w:hint="eastAsia" w:ascii="方正仿宋_GBK" w:hAnsi="方正仿宋_GBK" w:eastAsia="方正仿宋_GBK" w:cs="方正仿宋_GBK"/>
                <w:color w:val="000000"/>
                <w:kern w:val="0"/>
                <w:sz w:val="20"/>
                <w:szCs w:val="20"/>
                <w:lang w:bidi="ar"/>
              </w:rPr>
              <w:t>个。</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社会资本</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30000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30000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30000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（六）</w:t>
            </w:r>
          </w:p>
        </w:tc>
        <w:tc>
          <w:tcPr>
            <w:tcW w:w="4660" w:type="dxa"/>
            <w:gridSpan w:val="2"/>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专业市场（</w:t>
            </w:r>
            <w:r>
              <w:rPr>
                <w:rFonts w:eastAsia="方正楷体_GBK"/>
                <w:b/>
                <w:bCs/>
                <w:color w:val="000000"/>
                <w:kern w:val="0"/>
                <w:sz w:val="20"/>
                <w:szCs w:val="20"/>
                <w:lang w:bidi="ar"/>
              </w:rPr>
              <w:t>3</w:t>
            </w:r>
            <w:r>
              <w:rPr>
                <w:rFonts w:hint="eastAsia" w:ascii="方正楷体_GBK" w:hAnsi="方正楷体_GBK" w:eastAsia="方正楷体_GBK" w:cs="方正楷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45000</w:t>
            </w:r>
          </w:p>
        </w:tc>
        <w:tc>
          <w:tcPr>
            <w:tcW w:w="944" w:type="dxa"/>
            <w:noWrap w:val="0"/>
            <w:vAlign w:val="center"/>
          </w:tcPr>
          <w:p>
            <w:pPr>
              <w:jc w:val="center"/>
              <w:rPr>
                <w:b/>
                <w:bCs/>
                <w:color w:val="000000"/>
                <w:sz w:val="20"/>
                <w:szCs w:val="20"/>
              </w:rPr>
            </w:pP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45000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45000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13</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吉之汇国际农贸物流城</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新增</w:t>
            </w:r>
            <w:r>
              <w:rPr>
                <w:rFonts w:eastAsia="方正仿宋_GBK"/>
                <w:color w:val="000000"/>
                <w:kern w:val="0"/>
                <w:sz w:val="20"/>
                <w:szCs w:val="20"/>
                <w:lang w:bidi="ar"/>
              </w:rPr>
              <w:t>10</w:t>
            </w:r>
            <w:r>
              <w:rPr>
                <w:rFonts w:hint="eastAsia" w:ascii="方正仿宋_GBK" w:hAnsi="方正仿宋_GBK" w:eastAsia="方正仿宋_GBK" w:cs="方正仿宋_GBK"/>
                <w:color w:val="000000"/>
                <w:kern w:val="0"/>
                <w:sz w:val="20"/>
                <w:szCs w:val="20"/>
                <w:lang w:bidi="ar"/>
              </w:rPr>
              <w:t>亩商业用地，扩建农产品市场交易区，建设渝东南</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智慧农产品批发市场</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，打造武陵山区农产品集散中心。</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区商务委、正阳工业园区管委会</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14</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渝东南汽车交易市场</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占地约</w:t>
            </w:r>
            <w:r>
              <w:rPr>
                <w:rFonts w:eastAsia="方正仿宋_GBK"/>
                <w:color w:val="000000"/>
                <w:kern w:val="0"/>
                <w:sz w:val="20"/>
                <w:szCs w:val="20"/>
                <w:lang w:bidi="ar"/>
              </w:rPr>
              <w:t>200</w:t>
            </w:r>
            <w:r>
              <w:rPr>
                <w:rFonts w:hint="eastAsia" w:ascii="方正仿宋_GBK" w:hAnsi="方正仿宋_GBK" w:eastAsia="方正仿宋_GBK" w:cs="方正仿宋_GBK"/>
                <w:color w:val="000000"/>
                <w:kern w:val="0"/>
                <w:sz w:val="20"/>
                <w:szCs w:val="20"/>
                <w:lang w:bidi="ar"/>
              </w:rPr>
              <w:t>亩，改造建设汽车</w:t>
            </w:r>
            <w:r>
              <w:rPr>
                <w:rFonts w:eastAsia="方正仿宋_GBK"/>
                <w:color w:val="000000"/>
                <w:kern w:val="0"/>
                <w:sz w:val="20"/>
                <w:szCs w:val="20"/>
                <w:lang w:bidi="ar"/>
              </w:rPr>
              <w:t>4S</w:t>
            </w:r>
            <w:r>
              <w:rPr>
                <w:rFonts w:hint="eastAsia" w:ascii="方正仿宋_GBK" w:hAnsi="方正仿宋_GBK" w:eastAsia="方正仿宋_GBK" w:cs="方正仿宋_GBK"/>
                <w:color w:val="000000"/>
                <w:kern w:val="0"/>
                <w:sz w:val="20"/>
                <w:szCs w:val="20"/>
                <w:lang w:bidi="ar"/>
              </w:rPr>
              <w:t>店、汽车销售展厅、配套设施、二手车交易区等，推动汽车后市场服务产业发展。</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区商务委、正阳工业园区管委会</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15</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渝东南再生资源回收利用基地</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占地</w:t>
            </w:r>
            <w:r>
              <w:rPr>
                <w:rFonts w:eastAsia="方正仿宋_GBK"/>
                <w:color w:val="000000"/>
                <w:kern w:val="0"/>
                <w:sz w:val="20"/>
                <w:szCs w:val="20"/>
                <w:lang w:bidi="ar"/>
              </w:rPr>
              <w:t>150</w:t>
            </w:r>
            <w:r>
              <w:rPr>
                <w:rFonts w:hint="eastAsia" w:ascii="方正仿宋_GBK" w:hAnsi="方正仿宋_GBK" w:eastAsia="方正仿宋_GBK" w:cs="方正仿宋_GBK"/>
                <w:color w:val="000000"/>
                <w:kern w:val="0"/>
                <w:sz w:val="20"/>
                <w:szCs w:val="20"/>
                <w:lang w:bidi="ar"/>
              </w:rPr>
              <w:t>亩，总建筑面积约</w:t>
            </w:r>
            <w:r>
              <w:rPr>
                <w:rFonts w:eastAsia="方正仿宋_GBK"/>
                <w:color w:val="000000"/>
                <w:kern w:val="0"/>
                <w:sz w:val="20"/>
                <w:szCs w:val="20"/>
                <w:lang w:bidi="ar"/>
              </w:rPr>
              <w:t>12</w:t>
            </w:r>
            <w:r>
              <w:rPr>
                <w:rFonts w:hint="eastAsia" w:ascii="方正仿宋_GBK" w:hAnsi="方正仿宋_GBK" w:eastAsia="方正仿宋_GBK" w:cs="方正仿宋_GBK"/>
                <w:color w:val="000000"/>
                <w:kern w:val="0"/>
                <w:sz w:val="20"/>
                <w:szCs w:val="20"/>
                <w:lang w:bidi="ar"/>
              </w:rPr>
              <w:t>万㎡，建设内容包括再生资源交易区、仓库、加工房、综合楼，及附属设施。</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区商务委、正阳工业园区管委会</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rFonts w:hint="eastAsia" w:ascii="方正黑体_GBK" w:hAnsi="方正黑体_GBK" w:eastAsia="方正黑体_GBK" w:cs="方正黑体_GBK"/>
                <w:b/>
                <w:bCs/>
                <w:color w:val="000000"/>
                <w:sz w:val="20"/>
                <w:szCs w:val="20"/>
              </w:rPr>
            </w:pPr>
            <w:r>
              <w:rPr>
                <w:rFonts w:hint="eastAsia" w:ascii="方正黑体_GBK" w:hAnsi="方正黑体_GBK" w:eastAsia="方正黑体_GBK" w:cs="方正黑体_GBK"/>
                <w:b/>
                <w:bCs/>
                <w:color w:val="000000"/>
                <w:kern w:val="0"/>
                <w:sz w:val="20"/>
                <w:szCs w:val="20"/>
                <w:lang w:bidi="ar"/>
              </w:rPr>
              <w:t>二、</w:t>
            </w:r>
          </w:p>
        </w:tc>
        <w:tc>
          <w:tcPr>
            <w:tcW w:w="4660" w:type="dxa"/>
            <w:gridSpan w:val="2"/>
            <w:noWrap w:val="0"/>
            <w:vAlign w:val="center"/>
          </w:tcPr>
          <w:p>
            <w:pPr>
              <w:widowControl/>
              <w:jc w:val="left"/>
              <w:textAlignment w:val="center"/>
              <w:rPr>
                <w:rFonts w:hint="eastAsia" w:ascii="方正黑体_GBK" w:hAnsi="方正黑体_GBK" w:eastAsia="方正黑体_GBK" w:cs="方正黑体_GBK"/>
                <w:b/>
                <w:bCs/>
                <w:color w:val="000000"/>
                <w:sz w:val="20"/>
                <w:szCs w:val="20"/>
              </w:rPr>
            </w:pPr>
            <w:r>
              <w:rPr>
                <w:rFonts w:hint="eastAsia" w:ascii="方正黑体_GBK" w:hAnsi="方正黑体_GBK" w:eastAsia="方正黑体_GBK" w:cs="方正黑体_GBK"/>
                <w:b/>
                <w:bCs/>
                <w:color w:val="000000"/>
                <w:kern w:val="0"/>
                <w:sz w:val="20"/>
                <w:szCs w:val="20"/>
                <w:lang w:bidi="ar"/>
              </w:rPr>
              <w:t>打造武陵山区对外开放高地（</w:t>
            </w:r>
            <w:r>
              <w:rPr>
                <w:rFonts w:eastAsia="方正黑体_GBK"/>
                <w:b/>
                <w:bCs/>
                <w:color w:val="000000"/>
                <w:kern w:val="0"/>
                <w:sz w:val="20"/>
                <w:szCs w:val="20"/>
                <w:lang w:bidi="ar"/>
              </w:rPr>
              <w:t>6</w:t>
            </w:r>
            <w:r>
              <w:rPr>
                <w:rFonts w:hint="eastAsia" w:ascii="方正黑体_GBK" w:hAnsi="方正黑体_GBK" w:eastAsia="方正黑体_GBK" w:cs="方正黑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499500</w:t>
            </w:r>
          </w:p>
        </w:tc>
        <w:tc>
          <w:tcPr>
            <w:tcW w:w="944" w:type="dxa"/>
            <w:noWrap w:val="0"/>
            <w:vAlign w:val="center"/>
          </w:tcPr>
          <w:p>
            <w:pPr>
              <w:widowControl/>
              <w:jc w:val="center"/>
              <w:textAlignment w:val="center"/>
              <w:rPr>
                <w:b/>
                <w:bCs/>
                <w:color w:val="000000"/>
                <w:sz w:val="20"/>
                <w:szCs w:val="20"/>
              </w:rPr>
            </w:pPr>
            <w:r>
              <w:rPr>
                <w:b/>
                <w:bCs/>
                <w:color w:val="000000"/>
                <w:kern w:val="0"/>
                <w:sz w:val="20"/>
                <w:szCs w:val="20"/>
                <w:lang w:bidi="ar"/>
              </w:rPr>
              <w:t>93250</w:t>
            </w: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406250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499500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（一）</w:t>
            </w:r>
          </w:p>
        </w:tc>
        <w:tc>
          <w:tcPr>
            <w:tcW w:w="4660" w:type="dxa"/>
            <w:gridSpan w:val="2"/>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对外开放平台（</w:t>
            </w:r>
            <w:r>
              <w:rPr>
                <w:rFonts w:eastAsia="方正楷体_GBK"/>
                <w:b/>
                <w:bCs/>
                <w:color w:val="000000"/>
                <w:kern w:val="0"/>
                <w:sz w:val="20"/>
                <w:szCs w:val="20"/>
                <w:lang w:bidi="ar"/>
              </w:rPr>
              <w:t>2</w:t>
            </w:r>
            <w:r>
              <w:rPr>
                <w:rFonts w:hint="eastAsia" w:ascii="方正楷体_GBK" w:hAnsi="方正楷体_GBK" w:eastAsia="方正楷体_GBK" w:cs="方正楷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402000</w:t>
            </w:r>
          </w:p>
        </w:tc>
        <w:tc>
          <w:tcPr>
            <w:tcW w:w="944" w:type="dxa"/>
            <w:noWrap w:val="0"/>
            <w:vAlign w:val="center"/>
          </w:tcPr>
          <w:p>
            <w:pPr>
              <w:widowControl/>
              <w:jc w:val="center"/>
              <w:textAlignment w:val="center"/>
              <w:rPr>
                <w:b/>
                <w:bCs/>
                <w:color w:val="000000"/>
                <w:sz w:val="20"/>
                <w:szCs w:val="20"/>
              </w:rPr>
            </w:pPr>
            <w:r>
              <w:rPr>
                <w:b/>
                <w:bCs/>
                <w:color w:val="000000"/>
                <w:kern w:val="0"/>
                <w:sz w:val="20"/>
                <w:szCs w:val="20"/>
                <w:lang w:bidi="ar"/>
              </w:rPr>
              <w:t>82000</w:t>
            </w: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320000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402000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7"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16</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航空口岸</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总建筑面积约</w:t>
            </w:r>
            <w:r>
              <w:rPr>
                <w:rFonts w:eastAsia="方正仿宋_GBK"/>
                <w:color w:val="000000"/>
                <w:kern w:val="0"/>
                <w:sz w:val="20"/>
                <w:szCs w:val="20"/>
                <w:lang w:bidi="ar"/>
              </w:rPr>
              <w:t>14000</w:t>
            </w:r>
            <w:r>
              <w:rPr>
                <w:rFonts w:hint="eastAsia" w:ascii="方正仿宋_GBK" w:hAnsi="方正仿宋_GBK" w:eastAsia="方正仿宋_GBK" w:cs="方正仿宋_GBK"/>
                <w:color w:val="000000"/>
                <w:kern w:val="0"/>
                <w:sz w:val="20"/>
                <w:szCs w:val="20"/>
                <w:lang w:bidi="ar"/>
              </w:rPr>
              <w:t>平方米。建设办公服务区、保税功能区、货物作业区、查验监管区、航空货场换装作业区等。</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2000</w:t>
            </w:r>
          </w:p>
        </w:tc>
        <w:tc>
          <w:tcPr>
            <w:tcW w:w="1308" w:type="dxa"/>
            <w:noWrap w:val="0"/>
            <w:vAlign w:val="center"/>
          </w:tcPr>
          <w:p>
            <w:pPr>
              <w:jc w:val="center"/>
              <w:rPr>
                <w:color w:val="000000"/>
                <w:sz w:val="20"/>
                <w:szCs w:val="20"/>
              </w:rPr>
            </w:pP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17</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保税物流中心（</w:t>
            </w:r>
            <w:r>
              <w:rPr>
                <w:rFonts w:eastAsia="方正仿宋_GBK"/>
                <w:color w:val="000000"/>
                <w:kern w:val="0"/>
                <w:sz w:val="20"/>
                <w:szCs w:val="20"/>
                <w:lang w:bidi="ar"/>
              </w:rPr>
              <w:t>B</w:t>
            </w:r>
            <w:r>
              <w:rPr>
                <w:rFonts w:hint="eastAsia" w:ascii="方正仿宋_GBK" w:hAnsi="方正仿宋_GBK" w:eastAsia="方正仿宋_GBK" w:cs="方正仿宋_GBK"/>
                <w:color w:val="000000"/>
                <w:kern w:val="0"/>
                <w:sz w:val="20"/>
                <w:szCs w:val="20"/>
                <w:lang w:bidi="ar"/>
              </w:rPr>
              <w:t>型）</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建设公用型保税仓、保税物流中心（</w:t>
            </w:r>
            <w:r>
              <w:rPr>
                <w:rFonts w:eastAsia="方正仿宋_GBK"/>
                <w:color w:val="000000"/>
                <w:kern w:val="0"/>
                <w:sz w:val="20"/>
                <w:szCs w:val="20"/>
                <w:lang w:bidi="ar"/>
              </w:rPr>
              <w:t>B</w:t>
            </w:r>
            <w:r>
              <w:rPr>
                <w:rFonts w:hint="eastAsia" w:ascii="方正仿宋_GBK" w:hAnsi="方正仿宋_GBK" w:eastAsia="方正仿宋_GBK" w:cs="方正仿宋_GBK"/>
                <w:color w:val="000000"/>
                <w:kern w:val="0"/>
                <w:sz w:val="20"/>
                <w:szCs w:val="20"/>
                <w:lang w:bidi="ar"/>
              </w:rPr>
              <w:t>型），完善海关监管作业场所、隔离设施设备、工业用地场地、标准化厂房、保税仓库等基础设施。</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400000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80000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320000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400000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区商务委、正阳工业园区管委会</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（二）</w:t>
            </w:r>
          </w:p>
        </w:tc>
        <w:tc>
          <w:tcPr>
            <w:tcW w:w="4660" w:type="dxa"/>
            <w:gridSpan w:val="2"/>
            <w:noWrap w:val="0"/>
            <w:vAlign w:val="center"/>
          </w:tcPr>
          <w:p>
            <w:pPr>
              <w:widowControl/>
              <w:jc w:val="left"/>
              <w:textAlignment w:val="center"/>
              <w:rPr>
                <w:rFonts w:hint="eastAsia" w:ascii="方正楷体_GBK" w:hAnsi="方正楷体_GBK" w:eastAsia="方正楷体_GBK" w:cs="方正楷体_GBK"/>
                <w:b/>
                <w:bCs/>
                <w:color w:val="000000"/>
                <w:sz w:val="20"/>
                <w:szCs w:val="20"/>
              </w:rPr>
            </w:pPr>
            <w:r>
              <w:rPr>
                <w:rFonts w:hint="eastAsia" w:ascii="方正楷体_GBK" w:hAnsi="方正楷体_GBK" w:eastAsia="方正楷体_GBK" w:cs="方正楷体_GBK"/>
                <w:b/>
                <w:bCs/>
                <w:color w:val="000000"/>
                <w:kern w:val="0"/>
                <w:sz w:val="20"/>
                <w:szCs w:val="20"/>
                <w:lang w:bidi="ar"/>
              </w:rPr>
              <w:t>开放型经济（</w:t>
            </w:r>
            <w:r>
              <w:rPr>
                <w:rFonts w:eastAsia="方正楷体_GBK"/>
                <w:b/>
                <w:bCs/>
                <w:color w:val="000000"/>
                <w:kern w:val="0"/>
                <w:sz w:val="20"/>
                <w:szCs w:val="20"/>
                <w:lang w:bidi="ar"/>
              </w:rPr>
              <w:t>4</w:t>
            </w:r>
            <w:r>
              <w:rPr>
                <w:rFonts w:hint="eastAsia" w:ascii="方正楷体_GBK" w:hAnsi="方正楷体_GBK" w:eastAsia="方正楷体_GBK" w:cs="方正楷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97500</w:t>
            </w:r>
          </w:p>
        </w:tc>
        <w:tc>
          <w:tcPr>
            <w:tcW w:w="944" w:type="dxa"/>
            <w:noWrap w:val="0"/>
            <w:vAlign w:val="center"/>
          </w:tcPr>
          <w:p>
            <w:pPr>
              <w:widowControl/>
              <w:jc w:val="center"/>
              <w:textAlignment w:val="center"/>
              <w:rPr>
                <w:b/>
                <w:bCs/>
                <w:color w:val="000000"/>
                <w:sz w:val="20"/>
                <w:szCs w:val="20"/>
              </w:rPr>
            </w:pPr>
            <w:r>
              <w:rPr>
                <w:b/>
                <w:bCs/>
                <w:color w:val="000000"/>
                <w:kern w:val="0"/>
                <w:sz w:val="20"/>
                <w:szCs w:val="20"/>
                <w:lang w:bidi="ar"/>
              </w:rPr>
              <w:t>11250</w:t>
            </w: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86250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97500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18</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农产品出口基地</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建设农产品出口生产基地，培育一批猕猴桃、食用菌、青蒿素、高山生态蔬菜等特色农产品出口贸易企业。</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500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区商务委、农业农村委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19</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中新合作项目</w:t>
            </w:r>
          </w:p>
        </w:tc>
        <w:tc>
          <w:tcPr>
            <w:tcW w:w="2906" w:type="dxa"/>
            <w:noWrap w:val="0"/>
            <w:vAlign w:val="center"/>
          </w:tcPr>
          <w:p>
            <w:pPr>
              <w:widowControl/>
              <w:snapToGrid w:val="0"/>
              <w:spacing w:line="228" w:lineRule="auto"/>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占地约</w:t>
            </w:r>
            <w:r>
              <w:rPr>
                <w:rFonts w:eastAsia="方正仿宋_GBK"/>
                <w:color w:val="000000"/>
                <w:kern w:val="0"/>
                <w:sz w:val="20"/>
                <w:szCs w:val="20"/>
                <w:lang w:bidi="ar"/>
              </w:rPr>
              <w:t>200</w:t>
            </w:r>
            <w:r>
              <w:rPr>
                <w:rFonts w:hint="eastAsia" w:ascii="方正仿宋_GBK" w:hAnsi="方正仿宋_GBK" w:eastAsia="方正仿宋_GBK" w:cs="方正仿宋_GBK"/>
                <w:color w:val="000000"/>
                <w:kern w:val="0"/>
                <w:sz w:val="20"/>
                <w:szCs w:val="20"/>
                <w:lang w:bidi="ar"/>
              </w:rPr>
              <w:t>亩，推进中新</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绿雅（重庆）现代化农业产业项目建设，达产后可实现年产鲜食用菌</w:t>
            </w:r>
            <w:r>
              <w:rPr>
                <w:rFonts w:eastAsia="方正仿宋_GBK"/>
                <w:color w:val="000000"/>
                <w:kern w:val="0"/>
                <w:sz w:val="20"/>
                <w:szCs w:val="20"/>
                <w:lang w:bidi="ar"/>
              </w:rPr>
              <w:t>4.4</w:t>
            </w:r>
            <w:r>
              <w:rPr>
                <w:rFonts w:hint="eastAsia" w:ascii="方正仿宋_GBK" w:hAnsi="方正仿宋_GBK" w:eastAsia="方正仿宋_GBK" w:cs="方正仿宋_GBK"/>
                <w:color w:val="000000"/>
                <w:kern w:val="0"/>
                <w:sz w:val="20"/>
                <w:szCs w:val="20"/>
                <w:lang w:bidi="ar"/>
              </w:rPr>
              <w:t>万吨，年产值</w:t>
            </w:r>
            <w:r>
              <w:rPr>
                <w:rFonts w:eastAsia="方正仿宋_GBK"/>
                <w:color w:val="000000"/>
                <w:kern w:val="0"/>
                <w:sz w:val="20"/>
                <w:szCs w:val="20"/>
                <w:lang w:bidi="ar"/>
              </w:rPr>
              <w:t>2.4</w:t>
            </w:r>
            <w:r>
              <w:rPr>
                <w:rFonts w:hint="eastAsia" w:ascii="方正仿宋_GBK" w:hAnsi="方正仿宋_GBK" w:eastAsia="方正仿宋_GBK" w:cs="方正仿宋_GBK"/>
                <w:color w:val="000000"/>
                <w:kern w:val="0"/>
                <w:sz w:val="20"/>
                <w:szCs w:val="20"/>
                <w:lang w:bidi="ar"/>
              </w:rPr>
              <w:t>亿元。</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2021-2022</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25000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25000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25000</w:t>
            </w:r>
          </w:p>
        </w:tc>
        <w:tc>
          <w:tcPr>
            <w:tcW w:w="1171" w:type="dxa"/>
            <w:noWrap w:val="0"/>
            <w:vAlign w:val="center"/>
          </w:tcPr>
          <w:p>
            <w:pPr>
              <w:widowControl/>
              <w:snapToGrid w:val="0"/>
              <w:spacing w:line="216" w:lineRule="auto"/>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区商务委、农业农村委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20</w:t>
            </w:r>
          </w:p>
        </w:tc>
        <w:tc>
          <w:tcPr>
            <w:tcW w:w="1754" w:type="dxa"/>
            <w:noWrap w:val="0"/>
            <w:vAlign w:val="center"/>
          </w:tcPr>
          <w:p>
            <w:pPr>
              <w:widowControl/>
              <w:jc w:val="center"/>
              <w:textAlignment w:val="center"/>
              <w:rPr>
                <w:color w:val="000000"/>
                <w:sz w:val="20"/>
                <w:szCs w:val="20"/>
              </w:rPr>
            </w:pPr>
            <w:r>
              <w:rPr>
                <w:color w:val="000000"/>
                <w:kern w:val="0"/>
                <w:sz w:val="20"/>
                <w:szCs w:val="20"/>
                <w:lang w:bidi="ar"/>
              </w:rPr>
              <w:t>“</w:t>
            </w:r>
            <w:r>
              <w:rPr>
                <w:rFonts w:hint="eastAsia" w:ascii="方正仿宋_GBK" w:hAnsi="方正仿宋_GBK" w:eastAsia="方正仿宋_GBK" w:cs="方正仿宋_GBK"/>
                <w:color w:val="000000"/>
                <w:kern w:val="0"/>
                <w:sz w:val="20"/>
                <w:szCs w:val="20"/>
                <w:lang w:bidi="ar"/>
              </w:rPr>
              <w:t>一带一路</w:t>
            </w:r>
            <w:r>
              <w:rPr>
                <w:color w:val="000000"/>
                <w:kern w:val="0"/>
                <w:sz w:val="20"/>
                <w:szCs w:val="20"/>
                <w:lang w:bidi="ar"/>
              </w:rPr>
              <w:t>”</w:t>
            </w:r>
            <w:r>
              <w:rPr>
                <w:rFonts w:hint="eastAsia" w:ascii="方正仿宋_GBK" w:hAnsi="方正仿宋_GBK" w:eastAsia="方正仿宋_GBK" w:cs="方正仿宋_GBK"/>
                <w:color w:val="000000"/>
                <w:kern w:val="0"/>
                <w:sz w:val="20"/>
                <w:szCs w:val="20"/>
                <w:lang w:bidi="ar"/>
              </w:rPr>
              <w:t>合作项目</w:t>
            </w:r>
          </w:p>
        </w:tc>
        <w:tc>
          <w:tcPr>
            <w:tcW w:w="2906" w:type="dxa"/>
            <w:noWrap w:val="0"/>
            <w:vAlign w:val="center"/>
          </w:tcPr>
          <w:p>
            <w:pPr>
              <w:widowControl/>
              <w:snapToGrid w:val="0"/>
              <w:spacing w:line="228" w:lineRule="auto"/>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招商引进一带一路集团公司，在黔江建设欧亚一带一路进出口集散中心、国际茶产业园及分拣包装中心等。</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171" w:type="dxa"/>
            <w:noWrap w:val="0"/>
            <w:vAlign w:val="center"/>
          </w:tcPr>
          <w:p>
            <w:pPr>
              <w:widowControl/>
              <w:snapToGrid w:val="0"/>
              <w:spacing w:line="216" w:lineRule="auto"/>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21</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黔江区生态丝出口示范基地</w:t>
            </w:r>
          </w:p>
        </w:tc>
        <w:tc>
          <w:tcPr>
            <w:tcW w:w="2906" w:type="dxa"/>
            <w:noWrap w:val="0"/>
            <w:vAlign w:val="center"/>
          </w:tcPr>
          <w:p>
            <w:pPr>
              <w:widowControl/>
              <w:snapToGrid w:val="0"/>
              <w:spacing w:line="228" w:lineRule="auto"/>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新建标准桑园</w:t>
            </w:r>
            <w:r>
              <w:rPr>
                <w:rFonts w:eastAsia="方正仿宋_GBK"/>
                <w:color w:val="000000"/>
                <w:kern w:val="0"/>
                <w:sz w:val="20"/>
                <w:szCs w:val="20"/>
                <w:lang w:bidi="ar"/>
              </w:rPr>
              <w:t>3</w:t>
            </w:r>
            <w:r>
              <w:rPr>
                <w:rFonts w:hint="eastAsia" w:ascii="方正仿宋_GBK" w:hAnsi="方正仿宋_GBK" w:eastAsia="方正仿宋_GBK" w:cs="方正仿宋_GBK"/>
                <w:color w:val="000000"/>
                <w:kern w:val="0"/>
                <w:sz w:val="20"/>
                <w:szCs w:val="20"/>
                <w:lang w:bidi="ar"/>
              </w:rPr>
              <w:t>万亩，新建小蚕共育室</w:t>
            </w:r>
            <w:r>
              <w:rPr>
                <w:rFonts w:eastAsia="方正仿宋_GBK"/>
                <w:color w:val="000000"/>
                <w:kern w:val="0"/>
                <w:sz w:val="20"/>
                <w:szCs w:val="20"/>
                <w:lang w:bidi="ar"/>
              </w:rPr>
              <w:t>150</w:t>
            </w:r>
            <w:r>
              <w:rPr>
                <w:rFonts w:hint="eastAsia" w:ascii="方正仿宋_GBK" w:hAnsi="方正仿宋_GBK" w:eastAsia="方正仿宋_GBK" w:cs="方正仿宋_GBK"/>
                <w:color w:val="000000"/>
                <w:kern w:val="0"/>
                <w:sz w:val="20"/>
                <w:szCs w:val="20"/>
                <w:lang w:bidi="ar"/>
              </w:rPr>
              <w:t>个，室外养蚕大棚</w:t>
            </w:r>
            <w:r>
              <w:rPr>
                <w:rFonts w:eastAsia="方正仿宋_GBK"/>
                <w:color w:val="000000"/>
                <w:kern w:val="0"/>
                <w:sz w:val="20"/>
                <w:szCs w:val="20"/>
                <w:lang w:bidi="ar"/>
              </w:rPr>
              <w:t>10000</w:t>
            </w:r>
            <w:r>
              <w:rPr>
                <w:rFonts w:hint="eastAsia" w:ascii="方正仿宋_GBK" w:hAnsi="方正仿宋_GBK" w:eastAsia="方正仿宋_GBK" w:cs="方正仿宋_GBK"/>
                <w:color w:val="000000"/>
                <w:kern w:val="0"/>
                <w:sz w:val="20"/>
                <w:szCs w:val="20"/>
                <w:lang w:bidi="ar"/>
              </w:rPr>
              <w:t>个，纸板方格簇</w:t>
            </w:r>
            <w:r>
              <w:rPr>
                <w:rFonts w:eastAsia="方正仿宋_GBK"/>
                <w:color w:val="000000"/>
                <w:kern w:val="0"/>
                <w:sz w:val="20"/>
                <w:szCs w:val="20"/>
                <w:lang w:bidi="ar"/>
              </w:rPr>
              <w:t>20000</w:t>
            </w:r>
            <w:r>
              <w:rPr>
                <w:rFonts w:hint="eastAsia" w:ascii="方正仿宋_GBK" w:hAnsi="方正仿宋_GBK" w:eastAsia="方正仿宋_GBK" w:cs="方正仿宋_GBK"/>
                <w:color w:val="000000"/>
                <w:kern w:val="0"/>
                <w:sz w:val="20"/>
                <w:szCs w:val="20"/>
                <w:lang w:bidi="ar"/>
              </w:rPr>
              <w:t>套。</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21500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10750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10750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21500</w:t>
            </w:r>
          </w:p>
        </w:tc>
        <w:tc>
          <w:tcPr>
            <w:tcW w:w="1171" w:type="dxa"/>
            <w:noWrap w:val="0"/>
            <w:vAlign w:val="center"/>
          </w:tcPr>
          <w:p>
            <w:pPr>
              <w:widowControl/>
              <w:snapToGrid w:val="0"/>
              <w:spacing w:line="216" w:lineRule="auto"/>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区商务委、区林业局</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19" w:type="dxa"/>
            <w:noWrap w:val="0"/>
            <w:vAlign w:val="center"/>
          </w:tcPr>
          <w:p>
            <w:pPr>
              <w:widowControl/>
              <w:jc w:val="center"/>
              <w:textAlignment w:val="center"/>
              <w:rPr>
                <w:rFonts w:hint="eastAsia" w:ascii="方正黑体_GBK" w:hAnsi="方正黑体_GBK" w:eastAsia="方正黑体_GBK" w:cs="方正黑体_GBK"/>
                <w:b/>
                <w:bCs/>
                <w:color w:val="000000"/>
                <w:sz w:val="20"/>
                <w:szCs w:val="20"/>
              </w:rPr>
            </w:pPr>
            <w:r>
              <w:rPr>
                <w:rFonts w:hint="eastAsia" w:ascii="方正黑体_GBK" w:hAnsi="方正黑体_GBK" w:eastAsia="方正黑体_GBK" w:cs="方正黑体_GBK"/>
                <w:b/>
                <w:bCs/>
                <w:color w:val="000000"/>
                <w:kern w:val="0"/>
                <w:sz w:val="20"/>
                <w:szCs w:val="20"/>
                <w:lang w:bidi="ar"/>
              </w:rPr>
              <w:t>三</w:t>
            </w:r>
          </w:p>
        </w:tc>
        <w:tc>
          <w:tcPr>
            <w:tcW w:w="4660" w:type="dxa"/>
            <w:gridSpan w:val="2"/>
            <w:noWrap w:val="0"/>
            <w:vAlign w:val="center"/>
          </w:tcPr>
          <w:p>
            <w:pPr>
              <w:widowControl/>
              <w:snapToGrid w:val="0"/>
              <w:spacing w:line="228" w:lineRule="auto"/>
              <w:jc w:val="left"/>
              <w:textAlignment w:val="center"/>
              <w:rPr>
                <w:rFonts w:hint="eastAsia" w:ascii="方正黑体_GBK" w:hAnsi="方正黑体_GBK" w:eastAsia="方正黑体_GBK" w:cs="方正黑体_GBK"/>
                <w:b/>
                <w:bCs/>
                <w:color w:val="000000"/>
                <w:sz w:val="20"/>
                <w:szCs w:val="20"/>
              </w:rPr>
            </w:pPr>
            <w:r>
              <w:rPr>
                <w:rFonts w:hint="eastAsia" w:ascii="方正黑体_GBK" w:hAnsi="方正黑体_GBK" w:eastAsia="方正黑体_GBK" w:cs="方正黑体_GBK"/>
                <w:b/>
                <w:bCs/>
                <w:color w:val="000000"/>
                <w:kern w:val="0"/>
                <w:sz w:val="20"/>
                <w:szCs w:val="20"/>
                <w:lang w:bidi="ar"/>
              </w:rPr>
              <w:t>打造渝东南物流枢纽（</w:t>
            </w:r>
            <w:r>
              <w:rPr>
                <w:rFonts w:eastAsia="方正黑体_GBK"/>
                <w:b/>
                <w:bCs/>
                <w:color w:val="000000"/>
                <w:kern w:val="0"/>
                <w:sz w:val="20"/>
                <w:szCs w:val="20"/>
                <w:lang w:bidi="ar"/>
              </w:rPr>
              <w:t>9</w:t>
            </w:r>
            <w:r>
              <w:rPr>
                <w:rFonts w:hint="eastAsia" w:ascii="方正黑体_GBK" w:hAnsi="方正黑体_GBK" w:eastAsia="方正黑体_GBK" w:cs="方正黑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280200</w:t>
            </w:r>
          </w:p>
        </w:tc>
        <w:tc>
          <w:tcPr>
            <w:tcW w:w="944" w:type="dxa"/>
            <w:noWrap w:val="0"/>
            <w:vAlign w:val="center"/>
          </w:tcPr>
          <w:p>
            <w:pPr>
              <w:widowControl/>
              <w:jc w:val="center"/>
              <w:textAlignment w:val="center"/>
              <w:rPr>
                <w:b/>
                <w:bCs/>
                <w:color w:val="000000"/>
                <w:sz w:val="20"/>
                <w:szCs w:val="20"/>
              </w:rPr>
            </w:pPr>
            <w:r>
              <w:rPr>
                <w:b/>
                <w:bCs/>
                <w:color w:val="000000"/>
                <w:kern w:val="0"/>
                <w:sz w:val="20"/>
                <w:szCs w:val="20"/>
                <w:lang w:bidi="ar"/>
              </w:rPr>
              <w:t>42600</w:t>
            </w: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237600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280200</w:t>
            </w:r>
          </w:p>
        </w:tc>
        <w:tc>
          <w:tcPr>
            <w:tcW w:w="1171" w:type="dxa"/>
            <w:noWrap w:val="0"/>
            <w:vAlign w:val="center"/>
          </w:tcPr>
          <w:p>
            <w:pPr>
              <w:snapToGrid w:val="0"/>
              <w:spacing w:line="216" w:lineRule="auto"/>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22</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渝东南航空物流中心</w:t>
            </w:r>
          </w:p>
        </w:tc>
        <w:tc>
          <w:tcPr>
            <w:tcW w:w="2906" w:type="dxa"/>
            <w:noWrap w:val="0"/>
            <w:vAlign w:val="center"/>
          </w:tcPr>
          <w:p>
            <w:pPr>
              <w:widowControl/>
              <w:snapToGrid w:val="0"/>
              <w:spacing w:line="228" w:lineRule="auto"/>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建设仓储用房、加工配送用房、运输装卸用房、公共设施用房、办公用房等。</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80000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16000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64000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80000</w:t>
            </w:r>
          </w:p>
        </w:tc>
        <w:tc>
          <w:tcPr>
            <w:tcW w:w="1171" w:type="dxa"/>
            <w:noWrap w:val="0"/>
            <w:vAlign w:val="center"/>
          </w:tcPr>
          <w:p>
            <w:pPr>
              <w:widowControl/>
              <w:snapToGrid w:val="0"/>
              <w:spacing w:line="216" w:lineRule="auto"/>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区商务委、正阳工业园区管委会、区交通局</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23</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渝东南铁路物流中心</w:t>
            </w:r>
          </w:p>
        </w:tc>
        <w:tc>
          <w:tcPr>
            <w:tcW w:w="2906" w:type="dxa"/>
            <w:noWrap w:val="0"/>
            <w:vAlign w:val="center"/>
          </w:tcPr>
          <w:p>
            <w:pPr>
              <w:widowControl/>
              <w:snapToGrid w:val="0"/>
              <w:spacing w:line="228" w:lineRule="auto"/>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占地约</w:t>
            </w:r>
            <w:r>
              <w:rPr>
                <w:rFonts w:eastAsia="方正仿宋_GBK"/>
                <w:color w:val="000000"/>
                <w:kern w:val="0"/>
                <w:sz w:val="20"/>
                <w:szCs w:val="20"/>
                <w:lang w:bidi="ar"/>
              </w:rPr>
              <w:t>480</w:t>
            </w:r>
            <w:r>
              <w:rPr>
                <w:rFonts w:hint="eastAsia" w:ascii="方正仿宋_GBK" w:hAnsi="方正仿宋_GBK" w:eastAsia="方正仿宋_GBK" w:cs="方正仿宋_GBK"/>
                <w:color w:val="000000"/>
                <w:kern w:val="0"/>
                <w:sz w:val="20"/>
                <w:szCs w:val="20"/>
                <w:lang w:bidi="ar"/>
              </w:rPr>
              <w:t>亩。建设</w:t>
            </w:r>
            <w:r>
              <w:rPr>
                <w:rFonts w:eastAsia="方正仿宋_GBK"/>
                <w:color w:val="000000"/>
                <w:kern w:val="0"/>
                <w:sz w:val="20"/>
                <w:szCs w:val="20"/>
                <w:lang w:bidi="ar"/>
              </w:rPr>
              <w:t xml:space="preserve">6 </w:t>
            </w:r>
            <w:r>
              <w:rPr>
                <w:rFonts w:hint="eastAsia" w:ascii="方正仿宋_GBK" w:hAnsi="方正仿宋_GBK" w:eastAsia="方正仿宋_GBK" w:cs="方正仿宋_GBK"/>
                <w:color w:val="000000"/>
                <w:kern w:val="0"/>
                <w:sz w:val="20"/>
                <w:szCs w:val="20"/>
                <w:lang w:bidi="ar"/>
              </w:rPr>
              <w:t>条货物线，完善仓储、物流等设施。建设进出口商品分捡中心、货物货场等。</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10000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40000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171" w:type="dxa"/>
            <w:noWrap w:val="0"/>
            <w:vAlign w:val="center"/>
          </w:tcPr>
          <w:p>
            <w:pPr>
              <w:widowControl/>
              <w:snapToGrid w:val="0"/>
              <w:spacing w:line="216" w:lineRule="auto"/>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区商务委、正阳工业园区管委会、区交通局</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24</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渝东南公路物流中心</w:t>
            </w:r>
          </w:p>
        </w:tc>
        <w:tc>
          <w:tcPr>
            <w:tcW w:w="2906" w:type="dxa"/>
            <w:noWrap w:val="0"/>
            <w:vAlign w:val="center"/>
          </w:tcPr>
          <w:p>
            <w:pPr>
              <w:widowControl/>
              <w:snapToGrid w:val="0"/>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占地</w:t>
            </w:r>
            <w:r>
              <w:rPr>
                <w:rFonts w:eastAsia="方正仿宋_GBK"/>
                <w:color w:val="000000"/>
                <w:kern w:val="0"/>
                <w:sz w:val="20"/>
                <w:szCs w:val="20"/>
                <w:lang w:bidi="ar"/>
              </w:rPr>
              <w:t>380</w:t>
            </w:r>
            <w:r>
              <w:rPr>
                <w:rFonts w:hint="eastAsia" w:ascii="方正仿宋_GBK" w:hAnsi="方正仿宋_GBK" w:eastAsia="方正仿宋_GBK" w:cs="方正仿宋_GBK"/>
                <w:color w:val="000000"/>
                <w:kern w:val="0"/>
                <w:sz w:val="20"/>
                <w:szCs w:val="20"/>
                <w:lang w:bidi="ar"/>
              </w:rPr>
              <w:t>亩，建设货运站，建设交易及结算中心（含物流信息平台）、综合物流管理服务中心和车辆服务中心（维修、保养等），完善</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司机之家</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商务酒店等配套设。</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13200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2600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10600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13200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区商务委、正阳工业园区管委会、区交通局</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25</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渝东南空铁联运示范区</w:t>
            </w:r>
          </w:p>
        </w:tc>
        <w:tc>
          <w:tcPr>
            <w:tcW w:w="2906" w:type="dxa"/>
            <w:noWrap w:val="0"/>
            <w:vAlign w:val="center"/>
          </w:tcPr>
          <w:p>
            <w:pPr>
              <w:widowControl/>
              <w:snapToGrid w:val="0"/>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在黔江武陵山机场建设货运专属跑道、专属停机坪，推动机场与高铁快件运输基地无缝衔接，打造渝东南首个</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空铁联运</w:t>
            </w:r>
            <w:r>
              <w:rPr>
                <w:rFonts w:eastAsia="方正仿宋_GBK"/>
                <w:color w:val="000000"/>
                <w:kern w:val="0"/>
                <w:sz w:val="20"/>
                <w:szCs w:val="20"/>
                <w:lang w:bidi="ar"/>
              </w:rPr>
              <w:t>”</w:t>
            </w:r>
            <w:r>
              <w:rPr>
                <w:rFonts w:hint="eastAsia" w:ascii="方正仿宋_GBK" w:hAnsi="方正仿宋_GBK" w:eastAsia="方正仿宋_GBK" w:cs="方正仿宋_GBK"/>
                <w:color w:val="000000"/>
                <w:kern w:val="0"/>
                <w:sz w:val="20"/>
                <w:szCs w:val="20"/>
                <w:lang w:bidi="ar"/>
              </w:rPr>
              <w:t>综合性货物集散中心。</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30000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6000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24000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30000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区商务委、区交通局</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26</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冷链物流基础设施建设项目</w:t>
            </w:r>
          </w:p>
        </w:tc>
        <w:tc>
          <w:tcPr>
            <w:tcW w:w="2906" w:type="dxa"/>
            <w:noWrap w:val="0"/>
            <w:vAlign w:val="center"/>
          </w:tcPr>
          <w:p>
            <w:pPr>
              <w:widowControl/>
              <w:snapToGrid w:val="0"/>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对现有交易场所实施改扩建，布局城乡冷链物流配送网点，建设渝东南生鲜食品低温加工处理中心。在特色农产品产地和部分田头市场建设规模适度的预冷、贮藏保鲜等初加工冷链设施。</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4000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16000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27</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黔江区城乡高效配送项目</w:t>
            </w:r>
          </w:p>
        </w:tc>
        <w:tc>
          <w:tcPr>
            <w:tcW w:w="2906" w:type="dxa"/>
            <w:noWrap w:val="0"/>
            <w:vAlign w:val="center"/>
          </w:tcPr>
          <w:p>
            <w:pPr>
              <w:widowControl/>
              <w:snapToGrid w:val="0"/>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建设公共配送中心，完善配送投递设施。建设城乡物流配送平台，整合物流技术、仓储设施、物流资源、运输车辆和数据信息，推动城乡高效配送。</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28</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渝东南农资物流配送中心</w:t>
            </w:r>
          </w:p>
        </w:tc>
        <w:tc>
          <w:tcPr>
            <w:tcW w:w="2906" w:type="dxa"/>
            <w:noWrap w:val="0"/>
            <w:vAlign w:val="center"/>
          </w:tcPr>
          <w:p>
            <w:pPr>
              <w:widowControl/>
              <w:snapToGrid w:val="0"/>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正阳物流园区占地约</w:t>
            </w:r>
            <w:r>
              <w:rPr>
                <w:rFonts w:eastAsia="方正仿宋_GBK"/>
                <w:color w:val="000000"/>
                <w:kern w:val="0"/>
                <w:sz w:val="20"/>
                <w:szCs w:val="20"/>
                <w:lang w:bidi="ar"/>
              </w:rPr>
              <w:t>50</w:t>
            </w:r>
            <w:r>
              <w:rPr>
                <w:rFonts w:hint="eastAsia" w:ascii="方正仿宋_GBK" w:hAnsi="方正仿宋_GBK" w:eastAsia="方正仿宋_GBK" w:cs="方正仿宋_GBK"/>
                <w:color w:val="000000"/>
                <w:kern w:val="0"/>
                <w:sz w:val="20"/>
                <w:szCs w:val="20"/>
                <w:lang w:bidi="ar"/>
              </w:rPr>
              <w:t>亩，建筑面积</w:t>
            </w:r>
            <w:r>
              <w:rPr>
                <w:rFonts w:eastAsia="方正仿宋_GBK"/>
                <w:color w:val="000000"/>
                <w:kern w:val="0"/>
                <w:sz w:val="20"/>
                <w:szCs w:val="20"/>
                <w:lang w:bidi="ar"/>
              </w:rPr>
              <w:t>4</w:t>
            </w:r>
            <w:r>
              <w:rPr>
                <w:rFonts w:hint="eastAsia" w:ascii="方正仿宋_GBK" w:hAnsi="方正仿宋_GBK" w:eastAsia="方正仿宋_GBK" w:cs="方正仿宋_GBK"/>
                <w:color w:val="000000"/>
                <w:kern w:val="0"/>
                <w:sz w:val="20"/>
                <w:szCs w:val="20"/>
                <w:lang w:bidi="ar"/>
              </w:rPr>
              <w:t>万平方米，建设农资仓储、配送、信息系统等设施设备。</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12000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12000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12000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29</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生活物资供应链</w:t>
            </w:r>
          </w:p>
        </w:tc>
        <w:tc>
          <w:tcPr>
            <w:tcW w:w="2906" w:type="dxa"/>
            <w:noWrap w:val="0"/>
            <w:vAlign w:val="center"/>
          </w:tcPr>
          <w:p>
            <w:pPr>
              <w:widowControl/>
              <w:snapToGrid w:val="0"/>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建设农副产品初加工、食品加工基地，完善食品销售、生鲜食品配送、供应链管理等服务功能。</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30</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区域性快递物流分拨中心</w:t>
            </w:r>
          </w:p>
        </w:tc>
        <w:tc>
          <w:tcPr>
            <w:tcW w:w="2906" w:type="dxa"/>
            <w:noWrap w:val="0"/>
            <w:vAlign w:val="center"/>
          </w:tcPr>
          <w:p>
            <w:pPr>
              <w:widowControl/>
              <w:snapToGrid w:val="0"/>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引进邮政等企业在黔江建设区域分拨中心、快递分拣中心、区域性集散仓等，打造武陵山区物资集散和快递转运中心。</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4000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16000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9" w:type="dxa"/>
            <w:noWrap w:val="0"/>
            <w:vAlign w:val="center"/>
          </w:tcPr>
          <w:p>
            <w:pPr>
              <w:widowControl/>
              <w:jc w:val="center"/>
              <w:textAlignment w:val="center"/>
              <w:rPr>
                <w:rFonts w:hint="eastAsia" w:ascii="方正黑体_GBK" w:hAnsi="方正黑体_GBK" w:eastAsia="方正黑体_GBK" w:cs="方正黑体_GBK"/>
                <w:b/>
                <w:bCs/>
                <w:color w:val="000000"/>
                <w:sz w:val="20"/>
                <w:szCs w:val="20"/>
              </w:rPr>
            </w:pPr>
            <w:r>
              <w:rPr>
                <w:rFonts w:hint="eastAsia" w:ascii="方正黑体_GBK" w:hAnsi="方正黑体_GBK" w:eastAsia="方正黑体_GBK" w:cs="方正黑体_GBK"/>
                <w:b/>
                <w:bCs/>
                <w:color w:val="000000"/>
                <w:kern w:val="0"/>
                <w:sz w:val="20"/>
                <w:szCs w:val="20"/>
                <w:lang w:bidi="ar"/>
              </w:rPr>
              <w:t>四</w:t>
            </w:r>
          </w:p>
        </w:tc>
        <w:tc>
          <w:tcPr>
            <w:tcW w:w="4660" w:type="dxa"/>
            <w:gridSpan w:val="2"/>
            <w:noWrap w:val="0"/>
            <w:vAlign w:val="center"/>
          </w:tcPr>
          <w:p>
            <w:pPr>
              <w:widowControl/>
              <w:snapToGrid w:val="0"/>
              <w:jc w:val="left"/>
              <w:textAlignment w:val="center"/>
              <w:rPr>
                <w:rFonts w:hint="eastAsia" w:ascii="方正黑体_GBK" w:hAnsi="方正黑体_GBK" w:eastAsia="方正黑体_GBK" w:cs="方正黑体_GBK"/>
                <w:b/>
                <w:bCs/>
                <w:color w:val="000000"/>
                <w:sz w:val="20"/>
                <w:szCs w:val="20"/>
              </w:rPr>
            </w:pPr>
            <w:r>
              <w:rPr>
                <w:rFonts w:hint="eastAsia" w:ascii="方正黑体_GBK" w:hAnsi="方正黑体_GBK" w:eastAsia="方正黑体_GBK" w:cs="方正黑体_GBK"/>
                <w:b/>
                <w:bCs/>
                <w:color w:val="000000"/>
                <w:kern w:val="0"/>
                <w:sz w:val="20"/>
                <w:szCs w:val="20"/>
                <w:lang w:bidi="ar"/>
              </w:rPr>
              <w:t>建设电子商务强区（</w:t>
            </w:r>
            <w:r>
              <w:rPr>
                <w:rFonts w:eastAsia="方正黑体_GBK"/>
                <w:b/>
                <w:bCs/>
                <w:color w:val="000000"/>
                <w:kern w:val="0"/>
                <w:sz w:val="20"/>
                <w:szCs w:val="20"/>
                <w:lang w:bidi="ar"/>
              </w:rPr>
              <w:t>2</w:t>
            </w:r>
            <w:r>
              <w:rPr>
                <w:rFonts w:hint="eastAsia" w:ascii="方正黑体_GBK" w:hAnsi="方正黑体_GBK" w:eastAsia="方正黑体_GBK" w:cs="方正黑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52000</w:t>
            </w:r>
          </w:p>
        </w:tc>
        <w:tc>
          <w:tcPr>
            <w:tcW w:w="944" w:type="dxa"/>
            <w:noWrap w:val="0"/>
            <w:vAlign w:val="center"/>
          </w:tcPr>
          <w:p>
            <w:pPr>
              <w:widowControl/>
              <w:jc w:val="center"/>
              <w:textAlignment w:val="center"/>
              <w:rPr>
                <w:b/>
                <w:bCs/>
                <w:color w:val="000000"/>
                <w:sz w:val="20"/>
                <w:szCs w:val="20"/>
              </w:rPr>
            </w:pPr>
            <w:r>
              <w:rPr>
                <w:b/>
                <w:bCs/>
                <w:color w:val="000000"/>
                <w:kern w:val="0"/>
                <w:sz w:val="20"/>
                <w:szCs w:val="20"/>
                <w:lang w:bidi="ar"/>
              </w:rPr>
              <w:t>2000</w:t>
            </w: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50000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52000</w:t>
            </w:r>
          </w:p>
        </w:tc>
        <w:tc>
          <w:tcPr>
            <w:tcW w:w="1171" w:type="dxa"/>
            <w:noWrap w:val="0"/>
            <w:vAlign w:val="center"/>
          </w:tcPr>
          <w:p>
            <w:pPr>
              <w:jc w:val="center"/>
              <w:rPr>
                <w:b/>
                <w:bCs/>
                <w:color w:val="000000"/>
                <w:sz w:val="20"/>
                <w:szCs w:val="20"/>
              </w:rPr>
            </w:pPr>
          </w:p>
        </w:tc>
        <w:tc>
          <w:tcPr>
            <w:tcW w:w="876" w:type="dxa"/>
            <w:noWrap w:val="0"/>
            <w:vAlign w:val="center"/>
          </w:tcPr>
          <w:p>
            <w:pPr>
              <w:jc w:val="center"/>
              <w:rPr>
                <w:b/>
                <w:bCs/>
                <w:color w:val="000000"/>
                <w:sz w:val="20"/>
                <w:szCs w:val="20"/>
              </w:rPr>
            </w:pPr>
          </w:p>
        </w:tc>
        <w:tc>
          <w:tcPr>
            <w:tcW w:w="1057" w:type="dxa"/>
            <w:noWrap w:val="0"/>
            <w:vAlign w:val="center"/>
          </w:tcPr>
          <w:p>
            <w:pPr>
              <w:rPr>
                <w:rFonts w:hint="eastAsia" w:ascii="宋体" w:hAnsi="宋体" w:cs="宋体"/>
                <w:b/>
                <w:bCs/>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31</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电子商务进农村综合示范升级版创建项目</w:t>
            </w:r>
          </w:p>
        </w:tc>
        <w:tc>
          <w:tcPr>
            <w:tcW w:w="2906" w:type="dxa"/>
            <w:noWrap w:val="0"/>
            <w:vAlign w:val="center"/>
          </w:tcPr>
          <w:p>
            <w:pPr>
              <w:widowControl/>
              <w:snapToGrid w:val="0"/>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建设农特产品上行电商服务中心。在特色农特产品产地设置</w:t>
            </w:r>
            <w:r>
              <w:rPr>
                <w:rFonts w:eastAsia="方正仿宋_GBK"/>
                <w:color w:val="000000"/>
                <w:kern w:val="0"/>
                <w:sz w:val="20"/>
                <w:szCs w:val="20"/>
                <w:lang w:bidi="ar"/>
              </w:rPr>
              <w:t>6</w:t>
            </w:r>
            <w:r>
              <w:rPr>
                <w:rFonts w:hint="eastAsia" w:ascii="方正仿宋_GBK" w:hAnsi="方正仿宋_GBK" w:eastAsia="方正仿宋_GBK" w:cs="方正仿宋_GBK"/>
                <w:color w:val="000000"/>
                <w:kern w:val="0"/>
                <w:sz w:val="20"/>
                <w:szCs w:val="20"/>
                <w:lang w:bidi="ar"/>
              </w:rPr>
              <w:t>个前置仓，配套预冷、初加工、配送等基础设施。在吉之汇国际农贸物流城，建设渝东南区域性生鲜产品集散仓，建设农村电商社区</w:t>
            </w:r>
            <w:r>
              <w:rPr>
                <w:rFonts w:eastAsia="方正仿宋_GBK"/>
                <w:color w:val="000000"/>
                <w:kern w:val="0"/>
                <w:sz w:val="20"/>
                <w:szCs w:val="20"/>
                <w:lang w:bidi="ar"/>
              </w:rPr>
              <w:t>O2O</w:t>
            </w:r>
            <w:r>
              <w:rPr>
                <w:rFonts w:hint="eastAsia" w:ascii="方正仿宋_GBK" w:hAnsi="方正仿宋_GBK" w:eastAsia="方正仿宋_GBK" w:cs="方正仿宋_GBK"/>
                <w:color w:val="000000"/>
                <w:kern w:val="0"/>
                <w:sz w:val="20"/>
                <w:szCs w:val="20"/>
                <w:lang w:bidi="ar"/>
              </w:rPr>
              <w:t>体验店</w:t>
            </w:r>
            <w:r>
              <w:rPr>
                <w:rFonts w:eastAsia="方正仿宋_GBK"/>
                <w:color w:val="000000"/>
                <w:kern w:val="0"/>
                <w:sz w:val="20"/>
                <w:szCs w:val="20"/>
                <w:lang w:bidi="ar"/>
              </w:rPr>
              <w:t>10</w:t>
            </w:r>
            <w:r>
              <w:rPr>
                <w:rFonts w:hint="eastAsia" w:ascii="方正仿宋_GBK" w:hAnsi="方正仿宋_GBK" w:eastAsia="方正仿宋_GBK" w:cs="方正仿宋_GBK"/>
                <w:color w:val="000000"/>
                <w:kern w:val="0"/>
                <w:sz w:val="20"/>
                <w:szCs w:val="20"/>
                <w:lang w:bidi="ar"/>
              </w:rPr>
              <w:t>个，创建网销产品生产基地、直播电商基地</w:t>
            </w:r>
            <w:r>
              <w:rPr>
                <w:rFonts w:eastAsia="方正仿宋_GBK"/>
                <w:color w:val="000000"/>
                <w:kern w:val="0"/>
                <w:sz w:val="20"/>
                <w:szCs w:val="20"/>
                <w:lang w:bidi="ar"/>
              </w:rPr>
              <w:t>5</w:t>
            </w:r>
            <w:r>
              <w:rPr>
                <w:rFonts w:hint="eastAsia" w:ascii="方正仿宋_GBK" w:hAnsi="方正仿宋_GBK" w:eastAsia="方正仿宋_GBK" w:cs="方正仿宋_GBK"/>
                <w:color w:val="000000"/>
                <w:kern w:val="0"/>
                <w:sz w:val="20"/>
                <w:szCs w:val="20"/>
                <w:lang w:bidi="ar"/>
              </w:rPr>
              <w:t>个。</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2021-2022</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2000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2000</w:t>
            </w:r>
          </w:p>
        </w:tc>
        <w:tc>
          <w:tcPr>
            <w:tcW w:w="1308" w:type="dxa"/>
            <w:noWrap w:val="0"/>
            <w:vAlign w:val="center"/>
          </w:tcPr>
          <w:p>
            <w:pPr>
              <w:jc w:val="center"/>
              <w:rPr>
                <w:color w:val="000000"/>
                <w:sz w:val="20"/>
                <w:szCs w:val="20"/>
              </w:rPr>
            </w:pP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2000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32</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渝东南武陵山智慧电商物流产业园</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对现有电商产业园实施改扩建，设立电商企业孵化中心、仓储物流配送中心、网销产品研供中心，完善创业孵化、电商培训、仓储物流、供应链管理、商品展示等配套功能。引进国内外知名电子商务领军企业，在黔江设立区域总部，引导培育电商及电商服务企业入驻</w:t>
            </w:r>
            <w:r>
              <w:rPr>
                <w:rFonts w:eastAsia="方正仿宋_GBK"/>
                <w:color w:val="000000"/>
                <w:kern w:val="0"/>
                <w:sz w:val="20"/>
                <w:szCs w:val="20"/>
                <w:lang w:bidi="ar"/>
              </w:rPr>
              <w:t>50</w:t>
            </w:r>
            <w:r>
              <w:rPr>
                <w:rFonts w:hint="eastAsia" w:ascii="方正仿宋_GBK" w:hAnsi="方正仿宋_GBK" w:eastAsia="方正仿宋_GBK" w:cs="方正仿宋_GBK"/>
                <w:color w:val="000000"/>
                <w:kern w:val="0"/>
                <w:sz w:val="20"/>
                <w:szCs w:val="20"/>
                <w:lang w:bidi="ar"/>
              </w:rPr>
              <w:t>家以上。</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50000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9" w:type="dxa"/>
            <w:noWrap w:val="0"/>
            <w:vAlign w:val="center"/>
          </w:tcPr>
          <w:p>
            <w:pPr>
              <w:widowControl/>
              <w:jc w:val="center"/>
              <w:textAlignment w:val="center"/>
              <w:rPr>
                <w:rFonts w:hint="eastAsia" w:ascii="方正黑体_GBK" w:hAnsi="方正黑体_GBK" w:eastAsia="方正黑体_GBK" w:cs="方正黑体_GBK"/>
                <w:b/>
                <w:bCs/>
                <w:color w:val="000000"/>
                <w:sz w:val="20"/>
                <w:szCs w:val="20"/>
              </w:rPr>
            </w:pPr>
            <w:r>
              <w:rPr>
                <w:rFonts w:hint="eastAsia" w:ascii="方正黑体_GBK" w:hAnsi="方正黑体_GBK" w:eastAsia="方正黑体_GBK" w:cs="方正黑体_GBK"/>
                <w:b/>
                <w:bCs/>
                <w:color w:val="000000"/>
                <w:kern w:val="0"/>
                <w:sz w:val="20"/>
                <w:szCs w:val="20"/>
                <w:lang w:bidi="ar"/>
              </w:rPr>
              <w:t>五</w:t>
            </w:r>
          </w:p>
        </w:tc>
        <w:tc>
          <w:tcPr>
            <w:tcW w:w="4660" w:type="dxa"/>
            <w:gridSpan w:val="2"/>
            <w:noWrap w:val="0"/>
            <w:vAlign w:val="center"/>
          </w:tcPr>
          <w:p>
            <w:pPr>
              <w:widowControl/>
              <w:jc w:val="left"/>
              <w:textAlignment w:val="center"/>
              <w:rPr>
                <w:rFonts w:hint="eastAsia" w:ascii="方正黑体_GBK" w:hAnsi="方正黑体_GBK" w:eastAsia="方正黑体_GBK" w:cs="方正黑体_GBK"/>
                <w:b/>
                <w:bCs/>
                <w:color w:val="000000"/>
                <w:sz w:val="20"/>
                <w:szCs w:val="20"/>
              </w:rPr>
            </w:pPr>
            <w:r>
              <w:rPr>
                <w:rFonts w:hint="eastAsia" w:ascii="方正黑体_GBK" w:hAnsi="方正黑体_GBK" w:eastAsia="方正黑体_GBK" w:cs="方正黑体_GBK"/>
                <w:b/>
                <w:bCs/>
                <w:color w:val="000000"/>
                <w:kern w:val="0"/>
                <w:sz w:val="20"/>
                <w:szCs w:val="20"/>
                <w:lang w:bidi="ar"/>
              </w:rPr>
              <w:t>建设武陵山区应急保障基地（</w:t>
            </w:r>
            <w:r>
              <w:rPr>
                <w:rFonts w:eastAsia="方正黑体_GBK"/>
                <w:b/>
                <w:bCs/>
                <w:color w:val="000000"/>
                <w:kern w:val="0"/>
                <w:sz w:val="20"/>
                <w:szCs w:val="20"/>
                <w:lang w:bidi="ar"/>
              </w:rPr>
              <w:t>2</w:t>
            </w:r>
            <w:r>
              <w:rPr>
                <w:rFonts w:hint="eastAsia" w:ascii="方正黑体_GBK" w:hAnsi="方正黑体_GBK" w:eastAsia="方正黑体_GBK" w:cs="方正黑体_GBK"/>
                <w:b/>
                <w:bCs/>
                <w:color w:val="000000"/>
                <w:kern w:val="0"/>
                <w:sz w:val="20"/>
                <w:szCs w:val="20"/>
                <w:lang w:bidi="ar"/>
              </w:rPr>
              <w:t>项）</w:t>
            </w:r>
          </w:p>
        </w:tc>
        <w:tc>
          <w:tcPr>
            <w:tcW w:w="1101" w:type="dxa"/>
            <w:noWrap w:val="0"/>
            <w:vAlign w:val="center"/>
          </w:tcPr>
          <w:p>
            <w:pPr>
              <w:jc w:val="center"/>
              <w:rPr>
                <w:b/>
                <w:bCs/>
                <w:color w:val="000000"/>
                <w:sz w:val="20"/>
                <w:szCs w:val="20"/>
              </w:rPr>
            </w:pPr>
          </w:p>
        </w:tc>
        <w:tc>
          <w:tcPr>
            <w:tcW w:w="989" w:type="dxa"/>
            <w:noWrap w:val="0"/>
            <w:vAlign w:val="center"/>
          </w:tcPr>
          <w:p>
            <w:pPr>
              <w:jc w:val="center"/>
              <w:rPr>
                <w:b/>
                <w:bCs/>
                <w:color w:val="000000"/>
                <w:sz w:val="20"/>
                <w:szCs w:val="20"/>
              </w:rPr>
            </w:pPr>
          </w:p>
        </w:tc>
        <w:tc>
          <w:tcPr>
            <w:tcW w:w="923" w:type="dxa"/>
            <w:noWrap w:val="0"/>
            <w:vAlign w:val="center"/>
          </w:tcPr>
          <w:p>
            <w:pPr>
              <w:widowControl/>
              <w:jc w:val="center"/>
              <w:textAlignment w:val="center"/>
              <w:rPr>
                <w:b/>
                <w:bCs/>
                <w:color w:val="000000"/>
                <w:sz w:val="20"/>
                <w:szCs w:val="20"/>
              </w:rPr>
            </w:pPr>
            <w:r>
              <w:rPr>
                <w:b/>
                <w:bCs/>
                <w:color w:val="000000"/>
                <w:kern w:val="0"/>
                <w:sz w:val="20"/>
                <w:szCs w:val="20"/>
                <w:lang w:bidi="ar"/>
              </w:rPr>
              <w:t>25000</w:t>
            </w:r>
          </w:p>
        </w:tc>
        <w:tc>
          <w:tcPr>
            <w:tcW w:w="944" w:type="dxa"/>
            <w:noWrap w:val="0"/>
            <w:vAlign w:val="center"/>
          </w:tcPr>
          <w:p>
            <w:pPr>
              <w:widowControl/>
              <w:jc w:val="center"/>
              <w:textAlignment w:val="center"/>
              <w:rPr>
                <w:b/>
                <w:bCs/>
                <w:color w:val="000000"/>
                <w:sz w:val="20"/>
                <w:szCs w:val="20"/>
              </w:rPr>
            </w:pPr>
            <w:r>
              <w:rPr>
                <w:b/>
                <w:bCs/>
                <w:color w:val="000000"/>
                <w:kern w:val="0"/>
                <w:sz w:val="20"/>
                <w:szCs w:val="20"/>
                <w:lang w:bidi="ar"/>
              </w:rPr>
              <w:t>2000</w:t>
            </w:r>
          </w:p>
        </w:tc>
        <w:tc>
          <w:tcPr>
            <w:tcW w:w="1308" w:type="dxa"/>
            <w:noWrap w:val="0"/>
            <w:vAlign w:val="center"/>
          </w:tcPr>
          <w:p>
            <w:pPr>
              <w:widowControl/>
              <w:jc w:val="center"/>
              <w:textAlignment w:val="center"/>
              <w:rPr>
                <w:b/>
                <w:bCs/>
                <w:color w:val="000000"/>
                <w:sz w:val="20"/>
                <w:szCs w:val="20"/>
              </w:rPr>
            </w:pPr>
            <w:r>
              <w:rPr>
                <w:b/>
                <w:bCs/>
                <w:color w:val="000000"/>
                <w:kern w:val="0"/>
                <w:sz w:val="20"/>
                <w:szCs w:val="20"/>
                <w:lang w:bidi="ar"/>
              </w:rPr>
              <w:t>23000</w:t>
            </w:r>
          </w:p>
        </w:tc>
        <w:tc>
          <w:tcPr>
            <w:tcW w:w="1046" w:type="dxa"/>
            <w:noWrap w:val="0"/>
            <w:vAlign w:val="center"/>
          </w:tcPr>
          <w:p>
            <w:pPr>
              <w:widowControl/>
              <w:jc w:val="center"/>
              <w:textAlignment w:val="center"/>
              <w:rPr>
                <w:b/>
                <w:bCs/>
                <w:color w:val="000000"/>
                <w:sz w:val="20"/>
                <w:szCs w:val="20"/>
              </w:rPr>
            </w:pPr>
            <w:r>
              <w:rPr>
                <w:b/>
                <w:bCs/>
                <w:color w:val="000000"/>
                <w:kern w:val="0"/>
                <w:sz w:val="20"/>
                <w:szCs w:val="20"/>
                <w:lang w:bidi="ar"/>
              </w:rPr>
              <w:t>25000</w:t>
            </w:r>
          </w:p>
        </w:tc>
        <w:tc>
          <w:tcPr>
            <w:tcW w:w="1171" w:type="dxa"/>
            <w:noWrap w:val="0"/>
            <w:vAlign w:val="center"/>
          </w:tcPr>
          <w:p>
            <w:pPr>
              <w:jc w:val="center"/>
              <w:rPr>
                <w:color w:val="000000"/>
                <w:sz w:val="20"/>
                <w:szCs w:val="20"/>
              </w:rPr>
            </w:pPr>
          </w:p>
        </w:tc>
        <w:tc>
          <w:tcPr>
            <w:tcW w:w="876" w:type="dxa"/>
            <w:noWrap w:val="0"/>
            <w:vAlign w:val="center"/>
          </w:tcPr>
          <w:p>
            <w:pPr>
              <w:jc w:val="center"/>
              <w:rPr>
                <w:color w:val="000000"/>
                <w:sz w:val="20"/>
                <w:szCs w:val="20"/>
              </w:rPr>
            </w:pP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33</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渝东南武陵山区城镇群应急保供物资储备中心</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建设渝东南应急物资储备中心、标准化产品分拨中心，构建应急产品和生产能力储备综合信息平台。</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政府投资、社会投资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10000</w:t>
            </w:r>
          </w:p>
        </w:tc>
        <w:tc>
          <w:tcPr>
            <w:tcW w:w="944" w:type="dxa"/>
            <w:noWrap w:val="0"/>
            <w:vAlign w:val="center"/>
          </w:tcPr>
          <w:p>
            <w:pPr>
              <w:widowControl/>
              <w:jc w:val="center"/>
              <w:textAlignment w:val="center"/>
              <w:rPr>
                <w:color w:val="000000"/>
                <w:sz w:val="20"/>
                <w:szCs w:val="20"/>
              </w:rPr>
            </w:pPr>
            <w:r>
              <w:rPr>
                <w:color w:val="000000"/>
                <w:kern w:val="0"/>
                <w:sz w:val="20"/>
                <w:szCs w:val="20"/>
                <w:lang w:bidi="ar"/>
              </w:rPr>
              <w:t>2000</w:t>
            </w: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8000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10000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是</w:t>
            </w:r>
          </w:p>
        </w:tc>
        <w:tc>
          <w:tcPr>
            <w:tcW w:w="1057" w:type="dxa"/>
            <w:noWrap w:val="0"/>
            <w:vAlign w:val="center"/>
          </w:tcPr>
          <w:p>
            <w:pPr>
              <w:rPr>
                <w:rFonts w:hint="eastAsia" w:ascii="宋体" w:hAnsi="宋体" w:cs="宋体"/>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19" w:type="dxa"/>
            <w:noWrap w:val="0"/>
            <w:vAlign w:val="center"/>
          </w:tcPr>
          <w:p>
            <w:pPr>
              <w:widowControl/>
              <w:jc w:val="center"/>
              <w:textAlignment w:val="center"/>
              <w:rPr>
                <w:color w:val="000000"/>
                <w:sz w:val="20"/>
                <w:szCs w:val="20"/>
              </w:rPr>
            </w:pPr>
            <w:r>
              <w:rPr>
                <w:color w:val="000000"/>
                <w:kern w:val="0"/>
                <w:sz w:val="20"/>
                <w:szCs w:val="20"/>
                <w:lang w:bidi="ar"/>
              </w:rPr>
              <w:t>34</w:t>
            </w:r>
          </w:p>
        </w:tc>
        <w:tc>
          <w:tcPr>
            <w:tcW w:w="1754"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加油站建设项目</w:t>
            </w:r>
          </w:p>
        </w:tc>
        <w:tc>
          <w:tcPr>
            <w:tcW w:w="2906" w:type="dxa"/>
            <w:noWrap w:val="0"/>
            <w:vAlign w:val="center"/>
          </w:tcPr>
          <w:p>
            <w:pPr>
              <w:widowControl/>
              <w:jc w:val="left"/>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建设加油加气站</w:t>
            </w:r>
            <w:r>
              <w:rPr>
                <w:rFonts w:eastAsia="方正仿宋_GBK"/>
                <w:color w:val="000000"/>
                <w:kern w:val="0"/>
                <w:sz w:val="20"/>
                <w:szCs w:val="20"/>
                <w:lang w:bidi="ar"/>
              </w:rPr>
              <w:t>8</w:t>
            </w:r>
            <w:r>
              <w:rPr>
                <w:rFonts w:hint="eastAsia" w:ascii="方正仿宋_GBK" w:hAnsi="方正仿宋_GBK" w:eastAsia="方正仿宋_GBK" w:cs="方正仿宋_GBK"/>
                <w:color w:val="000000"/>
                <w:kern w:val="0"/>
                <w:sz w:val="20"/>
                <w:szCs w:val="20"/>
                <w:lang w:bidi="ar"/>
              </w:rPr>
              <w:t>个以上。</w:t>
            </w:r>
          </w:p>
        </w:tc>
        <w:tc>
          <w:tcPr>
            <w:tcW w:w="1101" w:type="dxa"/>
            <w:noWrap w:val="0"/>
            <w:vAlign w:val="center"/>
          </w:tcPr>
          <w:p>
            <w:pPr>
              <w:widowControl/>
              <w:jc w:val="center"/>
              <w:textAlignment w:val="center"/>
              <w:rPr>
                <w:color w:val="000000"/>
                <w:sz w:val="20"/>
                <w:szCs w:val="20"/>
              </w:rPr>
            </w:pPr>
            <w:r>
              <w:rPr>
                <w:color w:val="000000"/>
                <w:kern w:val="0"/>
                <w:sz w:val="20"/>
                <w:szCs w:val="20"/>
                <w:lang w:bidi="ar"/>
              </w:rPr>
              <w:t>2021-2025</w:t>
            </w:r>
          </w:p>
        </w:tc>
        <w:tc>
          <w:tcPr>
            <w:tcW w:w="989"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社会投资</w:t>
            </w:r>
          </w:p>
        </w:tc>
        <w:tc>
          <w:tcPr>
            <w:tcW w:w="923" w:type="dxa"/>
            <w:noWrap w:val="0"/>
            <w:vAlign w:val="center"/>
          </w:tcPr>
          <w:p>
            <w:pPr>
              <w:widowControl/>
              <w:jc w:val="center"/>
              <w:textAlignment w:val="center"/>
              <w:rPr>
                <w:color w:val="000000"/>
                <w:sz w:val="20"/>
                <w:szCs w:val="20"/>
              </w:rPr>
            </w:pPr>
            <w:r>
              <w:rPr>
                <w:color w:val="000000"/>
                <w:kern w:val="0"/>
                <w:sz w:val="20"/>
                <w:szCs w:val="20"/>
                <w:lang w:bidi="ar"/>
              </w:rPr>
              <w:t>15000</w:t>
            </w:r>
          </w:p>
        </w:tc>
        <w:tc>
          <w:tcPr>
            <w:tcW w:w="944" w:type="dxa"/>
            <w:noWrap w:val="0"/>
            <w:vAlign w:val="center"/>
          </w:tcPr>
          <w:p>
            <w:pPr>
              <w:jc w:val="center"/>
              <w:rPr>
                <w:color w:val="000000"/>
                <w:sz w:val="20"/>
                <w:szCs w:val="20"/>
              </w:rPr>
            </w:pPr>
          </w:p>
        </w:tc>
        <w:tc>
          <w:tcPr>
            <w:tcW w:w="1308" w:type="dxa"/>
            <w:noWrap w:val="0"/>
            <w:vAlign w:val="center"/>
          </w:tcPr>
          <w:p>
            <w:pPr>
              <w:widowControl/>
              <w:jc w:val="center"/>
              <w:textAlignment w:val="center"/>
              <w:rPr>
                <w:color w:val="000000"/>
                <w:sz w:val="20"/>
                <w:szCs w:val="20"/>
              </w:rPr>
            </w:pPr>
            <w:r>
              <w:rPr>
                <w:color w:val="000000"/>
                <w:kern w:val="0"/>
                <w:sz w:val="20"/>
                <w:szCs w:val="20"/>
                <w:lang w:bidi="ar"/>
              </w:rPr>
              <w:t>15000</w:t>
            </w:r>
          </w:p>
        </w:tc>
        <w:tc>
          <w:tcPr>
            <w:tcW w:w="1046" w:type="dxa"/>
            <w:noWrap w:val="0"/>
            <w:vAlign w:val="center"/>
          </w:tcPr>
          <w:p>
            <w:pPr>
              <w:widowControl/>
              <w:jc w:val="center"/>
              <w:textAlignment w:val="center"/>
              <w:rPr>
                <w:color w:val="000000"/>
                <w:sz w:val="20"/>
                <w:szCs w:val="20"/>
              </w:rPr>
            </w:pPr>
            <w:r>
              <w:rPr>
                <w:color w:val="000000"/>
                <w:kern w:val="0"/>
                <w:sz w:val="20"/>
                <w:szCs w:val="20"/>
                <w:lang w:bidi="ar"/>
              </w:rPr>
              <w:t>15000</w:t>
            </w:r>
          </w:p>
        </w:tc>
        <w:tc>
          <w:tcPr>
            <w:tcW w:w="1171"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区商务委</w:t>
            </w:r>
          </w:p>
        </w:tc>
        <w:tc>
          <w:tcPr>
            <w:tcW w:w="876" w:type="dxa"/>
            <w:noWrap w:val="0"/>
            <w:vAlign w:val="center"/>
          </w:tcPr>
          <w:p>
            <w:pPr>
              <w:widowControl/>
              <w:jc w:val="center"/>
              <w:textAlignment w:val="center"/>
              <w:rPr>
                <w:rFonts w:hint="eastAsia" w:ascii="方正仿宋_GBK" w:hAnsi="方正仿宋_GBK" w:eastAsia="方正仿宋_GBK" w:cs="方正仿宋_GBK"/>
                <w:color w:val="000000"/>
                <w:sz w:val="20"/>
                <w:szCs w:val="20"/>
              </w:rPr>
            </w:pPr>
            <w:r>
              <w:rPr>
                <w:rFonts w:hint="eastAsia" w:ascii="方正仿宋_GBK" w:hAnsi="方正仿宋_GBK" w:eastAsia="方正仿宋_GBK" w:cs="方正仿宋_GBK"/>
                <w:color w:val="000000"/>
                <w:kern w:val="0"/>
                <w:sz w:val="20"/>
                <w:szCs w:val="20"/>
                <w:lang w:bidi="ar"/>
              </w:rPr>
              <w:t>否</w:t>
            </w:r>
          </w:p>
        </w:tc>
        <w:tc>
          <w:tcPr>
            <w:tcW w:w="1057" w:type="dxa"/>
            <w:noWrap w:val="0"/>
            <w:vAlign w:val="center"/>
          </w:tcPr>
          <w:p>
            <w:pPr>
              <w:rPr>
                <w:rFonts w:hint="eastAsia" w:ascii="宋体" w:hAnsi="宋体" w:cs="宋体"/>
                <w:color w:val="000000"/>
                <w:sz w:val="22"/>
                <w:szCs w:val="22"/>
              </w:rPr>
            </w:pPr>
          </w:p>
        </w:tc>
      </w:tr>
    </w:tbl>
    <w:p>
      <w:pPr>
        <w:pStyle w:val="3"/>
        <w:ind w:firstLine="640"/>
        <w:rPr>
          <w:rFonts w:hint="eastAsia"/>
        </w:rPr>
      </w:pPr>
    </w:p>
    <w:p>
      <w:pPr>
        <w:pStyle w:val="3"/>
        <w:ind w:firstLine="640"/>
        <w:sectPr>
          <w:pgSz w:w="16838" w:h="11906" w:orient="landscape"/>
          <w:pgMar w:top="1440" w:right="1080" w:bottom="1440" w:left="1080" w:header="851" w:footer="992" w:gutter="0"/>
          <w:cols w:space="720" w:num="1"/>
          <w:docGrid w:type="lines" w:linePitch="312" w:charSpace="0"/>
        </w:sect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rPr>
          <w:rFonts w:hint="eastAsia"/>
        </w:rPr>
      </w:pPr>
    </w:p>
    <w:p>
      <w:pPr>
        <w:pStyle w:val="3"/>
        <w:ind w:firstLine="640"/>
      </w:pPr>
    </w:p>
    <w:p>
      <w:pPr>
        <w:pStyle w:val="3"/>
        <w:ind w:firstLine="338" w:firstLineChars="121"/>
      </w:pPr>
      <w:r>
        <w:rPr>
          <w:rFonts w:eastAsia="方正仿宋_GBK"/>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367665</wp:posOffset>
                </wp:positionV>
                <wp:extent cx="5652135" cy="0"/>
                <wp:effectExtent l="0" t="0" r="0" b="0"/>
                <wp:wrapNone/>
                <wp:docPr id="1" name="Line 1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0" o:spid="_x0000_s1026" o:spt="20" style="position:absolute;left:0pt;margin-left:0pt;margin-top:28.95pt;height:0pt;width:445.05pt;z-index:251658240;mso-width-relative:page;mso-height-relative:page;" filled="f" stroked="t" coordsize="21600,21600" o:gfxdata="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AZzR2T1gAAAAYBAAAPAAAAAAAAAAEA&#10;IAAAADgAAABkcnMvZG93bnJldi54bWxQSwECFAAUAAAACACHTuJA1oIMdMIBAACQAwAADgAAAAAA&#10;AAABACAAAAA7AQAAZHJzL2Uyb0RvYy54bWxQSwUGAAAAAAYABgBZAQAAbwUAAAAA&#10;">
                <v:fill on="f" focussize="0,0"/>
                <v:stroke weight="1pt" color="#000000" joinstyle="round"/>
                <v:imagedata o:title=""/>
                <o:lock v:ext="edit" aspectratio="f"/>
              </v:line>
            </w:pict>
          </mc:Fallback>
        </mc:AlternateContent>
      </w:r>
      <w:r>
        <w:rPr>
          <w:rFonts w:eastAsia="方正仿宋_GBK"/>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36830</wp:posOffset>
                </wp:positionV>
                <wp:extent cx="5652135" cy="0"/>
                <wp:effectExtent l="0" t="0" r="0" b="0"/>
                <wp:wrapNone/>
                <wp:docPr id="2" name="Line 1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1" o:spid="_x0000_s1026" o:spt="20" style="position:absolute;left:0pt;margin-left:0pt;margin-top:2.9pt;height:0pt;width:445.05pt;z-index:251659264;mso-width-relative:page;mso-height-relative:page;" filled="f" stroked="t" coordsize="21600,21600" o:gfxdata="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LPo5M7TAAAABAEAAA8AAAAAAAAAAQAg&#10;AAAAOAAAAGRycy9kb3ducmV2LnhtbFBLAQIUABQAAAAIAIdO4kApNPnxxAEAAJADAAAOAAAAAAAA&#10;AAEAIAAAADgBAABkcnMvZTJvRG9jLnhtbFBLBQYAAAAABgAGAFkBAABuBQAAAAA=&#10;">
                <v:fill on="f" focussize="0,0"/>
                <v:stroke weight="1pt" color="#000000" joinstyle="round"/>
                <v:imagedata o:title=""/>
                <o:lock v:ext="edit" aspectratio="f"/>
              </v:line>
            </w:pict>
          </mc:Fallback>
        </mc:AlternateContent>
      </w:r>
      <w:r>
        <w:rPr>
          <w:rFonts w:eastAsia="方正仿宋_GBK"/>
          <w:sz w:val="28"/>
          <w:szCs w:val="28"/>
        </w:rPr>
        <w:t xml:space="preserve">重庆市黔江区人民政府办公室          </w:t>
      </w:r>
      <w:r>
        <w:rPr>
          <w:rFonts w:hint="eastAsia" w:eastAsia="方正仿宋_GBK"/>
          <w:sz w:val="28"/>
          <w:szCs w:val="28"/>
        </w:rPr>
        <w:t xml:space="preserve">  </w:t>
      </w:r>
      <w:r>
        <w:rPr>
          <w:rFonts w:eastAsia="方正仿宋_GBK"/>
          <w:sz w:val="28"/>
          <w:szCs w:val="28"/>
        </w:rPr>
        <w:t>2021年</w:t>
      </w:r>
      <w:r>
        <w:rPr>
          <w:rFonts w:hint="eastAsia" w:eastAsia="方正仿宋_GBK"/>
          <w:sz w:val="28"/>
          <w:szCs w:val="28"/>
        </w:rPr>
        <w:t>11</w:t>
      </w:r>
      <w:r>
        <w:rPr>
          <w:rFonts w:eastAsia="方正仿宋_GBK"/>
          <w:sz w:val="28"/>
          <w:szCs w:val="28"/>
        </w:rPr>
        <w:t>月</w:t>
      </w:r>
      <w:r>
        <w:rPr>
          <w:rFonts w:hint="eastAsia" w:eastAsia="方正仿宋_GBK"/>
          <w:sz w:val="28"/>
          <w:szCs w:val="28"/>
        </w:rPr>
        <w:t>12</w:t>
      </w:r>
      <w:r>
        <w:rPr>
          <w:rFonts w:eastAsia="方正仿宋_GBK"/>
          <w:sz w:val="28"/>
          <w:szCs w:val="28"/>
        </w:rPr>
        <w:t>日印发</w:t>
      </w:r>
    </w:p>
    <w:sectPr>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0000019F" w:csb1="00000000"/>
  </w:font>
  <w:font w:name="方正楷体_GBK">
    <w:panose1 w:val="03000509000000000000"/>
    <w:charset w:val="86"/>
    <w:family w:val="script"/>
    <w:pitch w:val="default"/>
    <w:sig w:usb0="00000001" w:usb1="080E0000" w:usb2="00000000" w:usb3="00000000" w:csb0="00040000" w:csb1="00000000"/>
  </w:font>
  <w:font w:name="Consolas">
    <w:altName w:val="Liberation Sans Narrow"/>
    <w:panose1 w:val="020B0609020204030204"/>
    <w:charset w:val="00"/>
    <w:family w:val="modern"/>
    <w:pitch w:val="default"/>
    <w:sig w:usb0="00000000" w:usb1="00000000" w:usb2="00000009" w:usb3="00000000" w:csb0="0000019F" w:csb1="00000000"/>
  </w:font>
  <w:font w:name="方正仿宋_GBK">
    <w:panose1 w:val="03000509000000000000"/>
    <w:charset w:val="86"/>
    <w:family w:val="script"/>
    <w:pitch w:val="default"/>
    <w:sig w:usb0="00000001" w:usb1="080E0000" w:usb2="00000000" w:usb3="00000000" w:csb0="00040000" w:csb1="00000000"/>
  </w:font>
  <w:font w:name="font-weight : 400">
    <w:altName w:val="Noto Sans CJK HK"/>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3000509000000000000"/>
    <w:charset w:val="86"/>
    <w:family w:val="script"/>
    <w:pitch w:val="default"/>
    <w:sig w:usb0="00000001" w:usb1="080E0000" w:usb2="00000000" w:usb3="00000000" w:csb0="00040000" w:csb1="00000000"/>
  </w:font>
  <w:font w:name="微软雅黑">
    <w:altName w:val="黑体"/>
    <w:panose1 w:val="020B0503020204020204"/>
    <w:charset w:val="00"/>
    <w:family w:val="swiss"/>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Droid Sans Fallback">
    <w:panose1 w:val="020B0502000000000001"/>
    <w:charset w:val="86"/>
    <w:family w:val="auto"/>
    <w:pitch w:val="default"/>
    <w:sig w:usb0="910002FF" w:usb1="2BDFFCFB" w:usb2="00000036" w:usb3="00000000" w:csb0="203F01FF" w:csb1="D7FF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20"/>
        <w:rFonts w:hint="eastAsia" w:ascii="宋体" w:hAnsi="宋体"/>
        <w:sz w:val="28"/>
        <w:szCs w:val="28"/>
      </w:rPr>
    </w:pPr>
    <w:r>
      <w:rPr>
        <w:rStyle w:val="20"/>
        <w:rFonts w:hint="eastAsia" w:ascii="宋体" w:hAnsi="宋体"/>
        <w:sz w:val="28"/>
        <w:szCs w:val="28"/>
      </w:rPr>
      <w:t xml:space="preserve">— </w:t>
    </w:r>
    <w:r>
      <w:rPr>
        <w:rFonts w:ascii="宋体" w:hAnsi="宋体"/>
        <w:sz w:val="28"/>
        <w:szCs w:val="28"/>
      </w:rPr>
      <w:fldChar w:fldCharType="begin"/>
    </w:r>
    <w:r>
      <w:rPr>
        <w:rStyle w:val="20"/>
        <w:rFonts w:ascii="宋体" w:hAnsi="宋体"/>
        <w:sz w:val="28"/>
        <w:szCs w:val="28"/>
      </w:rPr>
      <w:instrText xml:space="preserve">PAGE  </w:instrText>
    </w:r>
    <w:r>
      <w:rPr>
        <w:rFonts w:ascii="宋体" w:hAnsi="宋体"/>
        <w:sz w:val="28"/>
        <w:szCs w:val="28"/>
      </w:rPr>
      <w:fldChar w:fldCharType="separate"/>
    </w:r>
    <w:r>
      <w:rPr>
        <w:rStyle w:val="20"/>
        <w:rFonts w:ascii="宋体" w:hAnsi="宋体"/>
        <w:sz w:val="28"/>
        <w:szCs w:val="28"/>
      </w:rPr>
      <w:t>3</w:t>
    </w:r>
    <w:r>
      <w:rPr>
        <w:rFonts w:ascii="宋体" w:hAnsi="宋体"/>
        <w:sz w:val="28"/>
        <w:szCs w:val="28"/>
      </w:rPr>
      <w:fldChar w:fldCharType="end"/>
    </w:r>
    <w:r>
      <w:rPr>
        <w:rStyle w:val="20"/>
        <w:rFonts w:hint="eastAsia" w:ascii="宋体" w:hAnsi="宋体"/>
        <w:sz w:val="28"/>
        <w:szCs w:val="28"/>
      </w:rPr>
      <w:t xml:space="preserve"> —</w:t>
    </w:r>
  </w:p>
  <w:p>
    <w:pPr>
      <w:pStyle w:val="10"/>
      <w:tabs>
        <w:tab w:val="clear" w:pos="4153"/>
        <w:tab w:val="clear" w:pos="8306"/>
      </w:tabs>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20"/>
        <w:rFonts w:hint="eastAsia" w:ascii="宋体" w:hAnsi="宋体"/>
        <w:sz w:val="28"/>
        <w:szCs w:val="28"/>
      </w:rPr>
    </w:pPr>
    <w:r>
      <w:rPr>
        <w:rStyle w:val="20"/>
        <w:rFonts w:hint="eastAsia" w:ascii="宋体" w:hAnsi="宋体"/>
        <w:sz w:val="28"/>
        <w:szCs w:val="28"/>
      </w:rPr>
      <w:t xml:space="preserve">— </w:t>
    </w:r>
    <w:r>
      <w:rPr>
        <w:rFonts w:ascii="宋体" w:hAnsi="宋体"/>
        <w:sz w:val="28"/>
        <w:szCs w:val="28"/>
      </w:rPr>
      <w:fldChar w:fldCharType="begin"/>
    </w:r>
    <w:r>
      <w:rPr>
        <w:rStyle w:val="20"/>
        <w:rFonts w:ascii="宋体" w:hAnsi="宋体"/>
        <w:sz w:val="28"/>
        <w:szCs w:val="28"/>
      </w:rPr>
      <w:instrText xml:space="preserve">PAGE  </w:instrText>
    </w:r>
    <w:r>
      <w:rPr>
        <w:rFonts w:ascii="宋体" w:hAnsi="宋体"/>
        <w:sz w:val="28"/>
        <w:szCs w:val="28"/>
      </w:rPr>
      <w:fldChar w:fldCharType="separate"/>
    </w:r>
    <w:r>
      <w:rPr>
        <w:rStyle w:val="20"/>
        <w:rFonts w:ascii="宋体" w:hAnsi="宋体"/>
        <w:sz w:val="28"/>
        <w:szCs w:val="28"/>
      </w:rPr>
      <w:t>4</w:t>
    </w:r>
    <w:r>
      <w:rPr>
        <w:rFonts w:ascii="宋体" w:hAnsi="宋体"/>
        <w:sz w:val="28"/>
        <w:szCs w:val="28"/>
      </w:rPr>
      <w:fldChar w:fldCharType="end"/>
    </w:r>
    <w:r>
      <w:rPr>
        <w:rStyle w:val="20"/>
        <w:rFonts w:hint="eastAsia" w:ascii="宋体" w:hAnsi="宋体"/>
        <w:sz w:val="28"/>
        <w:szCs w:val="28"/>
      </w:rPr>
      <w:t xml:space="preserve"> —</w:t>
    </w:r>
  </w:p>
  <w:p>
    <w:pPr>
      <w:pStyle w:val="1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20"/>
      </w:rPr>
    </w:pPr>
    <w:r>
      <w:fldChar w:fldCharType="begin"/>
    </w:r>
    <w:r>
      <w:rPr>
        <w:rStyle w:val="20"/>
      </w:rPr>
      <w:instrText xml:space="preserve">PAGE  </w:instrText>
    </w:r>
    <w:r>
      <w:fldChar w:fldCharType="separate"/>
    </w:r>
    <w:r>
      <w:rPr>
        <w:rStyle w:val="20"/>
      </w:rPr>
      <w:t>- 1 -</w:t>
    </w:r>
    <w:r>
      <w:fldChar w:fldCharType="end"/>
    </w:r>
  </w:p>
  <w:p>
    <w:pPr>
      <w:pStyle w:val="10"/>
      <w:tabs>
        <w:tab w:val="clear" w:pos="4153"/>
        <w:tab w:val="clear" w:pos="8306"/>
      </w:tabs>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wordWrap w:val="0"/>
      <w:jc w:val="right"/>
      <w:rPr>
        <w:rFonts w:hint="eastAsia"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9</w:t>
    </w:r>
    <w:r>
      <w:rPr>
        <w:rFonts w:ascii="宋体" w:hAnsi="宋体"/>
        <w:sz w:val="28"/>
        <w:szCs w:val="28"/>
      </w:rPr>
      <w:fldChar w:fldCharType="end"/>
    </w:r>
    <w:r>
      <w:rPr>
        <w:rFonts w:hint="eastAsia" w:ascii="宋体" w:hAnsi="宋体"/>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rPr>
        <w:rFonts w:hint="eastAsia"/>
        <w:sz w:val="28"/>
        <w:szCs w:val="28"/>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76</w:t>
    </w:r>
    <w:r>
      <w:rPr>
        <w:sz w:val="28"/>
        <w:szCs w:val="28"/>
      </w:rPr>
      <w:fldChar w:fldCharType="end"/>
    </w:r>
    <w:r>
      <w:rPr>
        <w:rFonts w:hint="eastAsia"/>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21</w:t>
    </w:r>
    <w:r>
      <w:rPr>
        <w:sz w:val="28"/>
        <w:szCs w:val="28"/>
      </w:rPr>
      <w:fldChar w:fldCharType="end"/>
    </w:r>
    <w:r>
      <w:rPr>
        <w:rFonts w:hint="eastAsia"/>
        <w:sz w:val="28"/>
        <w:szCs w:val="28"/>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49</w:t>
    </w:r>
    <w:r>
      <w:rPr>
        <w:sz w:val="28"/>
        <w:szCs w:val="28"/>
      </w:rPr>
      <w:fldChar w:fldCharType="end"/>
    </w:r>
    <w:r>
      <w:rPr>
        <w:rFonts w:hint="eastAsia"/>
        <w:sz w:val="28"/>
        <w:szCs w:val="28"/>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77</w:t>
    </w:r>
    <w:r>
      <w:rPr>
        <w:sz w:val="28"/>
        <w:szCs w:val="28"/>
      </w:rPr>
      <w:fldChar w:fldCharType="end"/>
    </w:r>
    <w:r>
      <w:rPr>
        <w:rFonts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13"/>
      </w:pPr>
      <w:r>
        <w:rPr>
          <w:rStyle w:val="31"/>
        </w:rPr>
        <w:footnoteRef/>
      </w:r>
      <w:r>
        <w:t xml:space="preserve"> </w:t>
      </w:r>
      <w:r>
        <w:rPr>
          <w:rFonts w:hint="eastAsia"/>
        </w:rPr>
        <w:t>深夜食堂：在每天22：00至第二天凌晨2：00期间保持营业的特色餐饮街区、特色商圈和特色餐厅。</w:t>
      </w:r>
    </w:p>
  </w:footnote>
  <w:footnote w:id="1">
    <w:p>
      <w:pPr>
        <w:pStyle w:val="13"/>
        <w:rPr>
          <w:rFonts w:hint="eastAsia"/>
        </w:rPr>
      </w:pPr>
      <w:r>
        <w:rPr>
          <w:rStyle w:val="31"/>
        </w:rPr>
        <w:footnoteRef/>
      </w:r>
      <w:r>
        <w:t xml:space="preserve"> </w:t>
      </w:r>
      <w:r>
        <w:rPr>
          <w:rFonts w:hint="eastAsia"/>
        </w:rPr>
        <w:t>首店经济：在行业里有代表性的品牌或新的潮牌在渝东南片区开的第一家店。</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TrueTypeFonts/>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evenAndOddHeaders w:val="true"/>
  <w:drawingGridHorizontalSpacing w:val="105"/>
  <w:drawingGridVerticalSpacing w:val="156"/>
  <w:displayHorizontalDrawingGridEvery w:val="1"/>
  <w:displayVerticalDrawingGridEvery w:val="1"/>
  <w:noPunctuationKerning w:val="true"/>
  <w:characterSpacingControl w:val="compressPunctuation"/>
  <w:doNotValidateAgainstSchema/>
  <w:doNotDemarcateInvalidXml/>
  <w:footnotePr>
    <w:footnote w:id="4"/>
    <w:footnote w:id="5"/>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7CD"/>
    <w:rsid w:val="00105996"/>
    <w:rsid w:val="00334555"/>
    <w:rsid w:val="003D4B6C"/>
    <w:rsid w:val="00405B27"/>
    <w:rsid w:val="004643BF"/>
    <w:rsid w:val="004C389A"/>
    <w:rsid w:val="00622E91"/>
    <w:rsid w:val="00663424"/>
    <w:rsid w:val="006951CB"/>
    <w:rsid w:val="00717154"/>
    <w:rsid w:val="007E35DD"/>
    <w:rsid w:val="00840851"/>
    <w:rsid w:val="0088261D"/>
    <w:rsid w:val="00891AF2"/>
    <w:rsid w:val="0095678D"/>
    <w:rsid w:val="009736BF"/>
    <w:rsid w:val="00A92648"/>
    <w:rsid w:val="00AA0F33"/>
    <w:rsid w:val="00B53395"/>
    <w:rsid w:val="00B54F48"/>
    <w:rsid w:val="00B94517"/>
    <w:rsid w:val="00BA67EE"/>
    <w:rsid w:val="00BE7B34"/>
    <w:rsid w:val="00C802AA"/>
    <w:rsid w:val="00CD3120"/>
    <w:rsid w:val="00D17CAA"/>
    <w:rsid w:val="00D40298"/>
    <w:rsid w:val="00D82049"/>
    <w:rsid w:val="00E1157B"/>
    <w:rsid w:val="00E6251B"/>
    <w:rsid w:val="00E95C29"/>
    <w:rsid w:val="00ED1841"/>
    <w:rsid w:val="00ED5434"/>
    <w:rsid w:val="00F80136"/>
    <w:rsid w:val="00F878C7"/>
    <w:rsid w:val="00F941C9"/>
    <w:rsid w:val="014E09A1"/>
    <w:rsid w:val="01B022FD"/>
    <w:rsid w:val="01BC2CF7"/>
    <w:rsid w:val="020160E1"/>
    <w:rsid w:val="04021E15"/>
    <w:rsid w:val="04502CBA"/>
    <w:rsid w:val="05BE0E49"/>
    <w:rsid w:val="061053D3"/>
    <w:rsid w:val="06DA64FF"/>
    <w:rsid w:val="06FF25C8"/>
    <w:rsid w:val="08524AC5"/>
    <w:rsid w:val="085D3FF5"/>
    <w:rsid w:val="09995A41"/>
    <w:rsid w:val="09B76D85"/>
    <w:rsid w:val="09C45C22"/>
    <w:rsid w:val="09D81AE7"/>
    <w:rsid w:val="09F82999"/>
    <w:rsid w:val="0A456C4A"/>
    <w:rsid w:val="0B4865A4"/>
    <w:rsid w:val="0B7E022B"/>
    <w:rsid w:val="0D424CDA"/>
    <w:rsid w:val="0D533303"/>
    <w:rsid w:val="0DA34956"/>
    <w:rsid w:val="0F094A18"/>
    <w:rsid w:val="0F0A713E"/>
    <w:rsid w:val="0F211853"/>
    <w:rsid w:val="100A4C2D"/>
    <w:rsid w:val="1175026B"/>
    <w:rsid w:val="11A153A4"/>
    <w:rsid w:val="11AE085A"/>
    <w:rsid w:val="126778E9"/>
    <w:rsid w:val="12D47729"/>
    <w:rsid w:val="134310C4"/>
    <w:rsid w:val="13A707F4"/>
    <w:rsid w:val="14433849"/>
    <w:rsid w:val="14C47CD3"/>
    <w:rsid w:val="15060D91"/>
    <w:rsid w:val="15640579"/>
    <w:rsid w:val="17280B09"/>
    <w:rsid w:val="179D3451"/>
    <w:rsid w:val="17DC3E1B"/>
    <w:rsid w:val="180B3DA4"/>
    <w:rsid w:val="18A873C5"/>
    <w:rsid w:val="18EE0194"/>
    <w:rsid w:val="194A3EF8"/>
    <w:rsid w:val="194E7438"/>
    <w:rsid w:val="1A527D11"/>
    <w:rsid w:val="1A61714F"/>
    <w:rsid w:val="1AE35E4D"/>
    <w:rsid w:val="1AE842A5"/>
    <w:rsid w:val="1D3C7930"/>
    <w:rsid w:val="1E7B03F7"/>
    <w:rsid w:val="1E822734"/>
    <w:rsid w:val="1E85524B"/>
    <w:rsid w:val="1EAC2FD5"/>
    <w:rsid w:val="1F3E6C38"/>
    <w:rsid w:val="20CB1A05"/>
    <w:rsid w:val="220B48B9"/>
    <w:rsid w:val="22615B49"/>
    <w:rsid w:val="22D01A48"/>
    <w:rsid w:val="22F21E7C"/>
    <w:rsid w:val="23117E67"/>
    <w:rsid w:val="23277B78"/>
    <w:rsid w:val="237A71D5"/>
    <w:rsid w:val="238C4315"/>
    <w:rsid w:val="23921534"/>
    <w:rsid w:val="23D36B3B"/>
    <w:rsid w:val="243F2224"/>
    <w:rsid w:val="2546463D"/>
    <w:rsid w:val="25FF469E"/>
    <w:rsid w:val="26B00272"/>
    <w:rsid w:val="26DD296C"/>
    <w:rsid w:val="27825589"/>
    <w:rsid w:val="280171B4"/>
    <w:rsid w:val="28113144"/>
    <w:rsid w:val="296767D2"/>
    <w:rsid w:val="2A361F45"/>
    <w:rsid w:val="2B2F76BC"/>
    <w:rsid w:val="2C39435A"/>
    <w:rsid w:val="2C926D46"/>
    <w:rsid w:val="2CD43FC9"/>
    <w:rsid w:val="2D755352"/>
    <w:rsid w:val="2E4055C8"/>
    <w:rsid w:val="2E5E4DB6"/>
    <w:rsid w:val="2E6B48E2"/>
    <w:rsid w:val="2F6F20D4"/>
    <w:rsid w:val="3002578A"/>
    <w:rsid w:val="30263CF9"/>
    <w:rsid w:val="304525EB"/>
    <w:rsid w:val="305C5C06"/>
    <w:rsid w:val="306E7BC0"/>
    <w:rsid w:val="30B120DC"/>
    <w:rsid w:val="30F41419"/>
    <w:rsid w:val="318F4F59"/>
    <w:rsid w:val="31947B24"/>
    <w:rsid w:val="31D3042F"/>
    <w:rsid w:val="32CB4C75"/>
    <w:rsid w:val="3331008E"/>
    <w:rsid w:val="33801173"/>
    <w:rsid w:val="33D21574"/>
    <w:rsid w:val="33E44508"/>
    <w:rsid w:val="34CB5BB5"/>
    <w:rsid w:val="35595140"/>
    <w:rsid w:val="35B17B57"/>
    <w:rsid w:val="368D6FEC"/>
    <w:rsid w:val="37151841"/>
    <w:rsid w:val="38AC7A84"/>
    <w:rsid w:val="38D146EA"/>
    <w:rsid w:val="38E036FD"/>
    <w:rsid w:val="3A134348"/>
    <w:rsid w:val="3AE728BD"/>
    <w:rsid w:val="3AF3607B"/>
    <w:rsid w:val="3B2B1845"/>
    <w:rsid w:val="3B3B7840"/>
    <w:rsid w:val="3B623B6F"/>
    <w:rsid w:val="3C0D5290"/>
    <w:rsid w:val="3C875997"/>
    <w:rsid w:val="3D062AFA"/>
    <w:rsid w:val="3ED81FE3"/>
    <w:rsid w:val="3EFD0E80"/>
    <w:rsid w:val="3F445437"/>
    <w:rsid w:val="401E1F32"/>
    <w:rsid w:val="407B0A5D"/>
    <w:rsid w:val="40D13177"/>
    <w:rsid w:val="41166E20"/>
    <w:rsid w:val="41395726"/>
    <w:rsid w:val="41460A47"/>
    <w:rsid w:val="428F0AB5"/>
    <w:rsid w:val="42A80AC0"/>
    <w:rsid w:val="437D361F"/>
    <w:rsid w:val="447412C5"/>
    <w:rsid w:val="44CD6342"/>
    <w:rsid w:val="44E25BBC"/>
    <w:rsid w:val="44EF5BAB"/>
    <w:rsid w:val="46642975"/>
    <w:rsid w:val="486935AE"/>
    <w:rsid w:val="489F10AD"/>
    <w:rsid w:val="48BA6612"/>
    <w:rsid w:val="48E0571B"/>
    <w:rsid w:val="49026ED7"/>
    <w:rsid w:val="498D3AF0"/>
    <w:rsid w:val="4A0F7436"/>
    <w:rsid w:val="4A23408E"/>
    <w:rsid w:val="4A6A3483"/>
    <w:rsid w:val="4AFD09F2"/>
    <w:rsid w:val="4B637459"/>
    <w:rsid w:val="4B9A5A57"/>
    <w:rsid w:val="4B9B3370"/>
    <w:rsid w:val="4BF16867"/>
    <w:rsid w:val="4CAD7980"/>
    <w:rsid w:val="4CDD48B6"/>
    <w:rsid w:val="4E433773"/>
    <w:rsid w:val="4EA81C59"/>
    <w:rsid w:val="4F556EB3"/>
    <w:rsid w:val="4F5F2326"/>
    <w:rsid w:val="4FA73D51"/>
    <w:rsid w:val="4FF462EB"/>
    <w:rsid w:val="501D664F"/>
    <w:rsid w:val="504D790E"/>
    <w:rsid w:val="512E50B1"/>
    <w:rsid w:val="520651F5"/>
    <w:rsid w:val="52261C8F"/>
    <w:rsid w:val="5307388A"/>
    <w:rsid w:val="53A30C48"/>
    <w:rsid w:val="53A55EB5"/>
    <w:rsid w:val="550B7751"/>
    <w:rsid w:val="55C609A5"/>
    <w:rsid w:val="55CA01D9"/>
    <w:rsid w:val="55DE6866"/>
    <w:rsid w:val="55E01E20"/>
    <w:rsid w:val="56203B57"/>
    <w:rsid w:val="573B1373"/>
    <w:rsid w:val="57422B95"/>
    <w:rsid w:val="57E7441D"/>
    <w:rsid w:val="580A38C9"/>
    <w:rsid w:val="587A5B48"/>
    <w:rsid w:val="58FC58B1"/>
    <w:rsid w:val="59013D9D"/>
    <w:rsid w:val="595806B0"/>
    <w:rsid w:val="59C51305"/>
    <w:rsid w:val="59FD06E3"/>
    <w:rsid w:val="5A6D5F5F"/>
    <w:rsid w:val="5AD85763"/>
    <w:rsid w:val="5AFB2552"/>
    <w:rsid w:val="5B8B30E2"/>
    <w:rsid w:val="5BD0698B"/>
    <w:rsid w:val="5C3D4299"/>
    <w:rsid w:val="5CBD0843"/>
    <w:rsid w:val="5DA0353E"/>
    <w:rsid w:val="5DBF7C26"/>
    <w:rsid w:val="5E0E22C9"/>
    <w:rsid w:val="5E455F9E"/>
    <w:rsid w:val="5E5D4D6B"/>
    <w:rsid w:val="5E866EAA"/>
    <w:rsid w:val="5EFF45AB"/>
    <w:rsid w:val="5F2E0EF7"/>
    <w:rsid w:val="5FAD3D73"/>
    <w:rsid w:val="605050B8"/>
    <w:rsid w:val="608F6F0C"/>
    <w:rsid w:val="60B82AAF"/>
    <w:rsid w:val="60D62EF2"/>
    <w:rsid w:val="61A13A94"/>
    <w:rsid w:val="61A445AA"/>
    <w:rsid w:val="622A412C"/>
    <w:rsid w:val="624754BB"/>
    <w:rsid w:val="62762C7A"/>
    <w:rsid w:val="62BC7DD6"/>
    <w:rsid w:val="62E47BE5"/>
    <w:rsid w:val="63B607EE"/>
    <w:rsid w:val="63FE7147"/>
    <w:rsid w:val="641A7EF8"/>
    <w:rsid w:val="64337A78"/>
    <w:rsid w:val="64733307"/>
    <w:rsid w:val="64E72821"/>
    <w:rsid w:val="64F12A0D"/>
    <w:rsid w:val="654B2D0C"/>
    <w:rsid w:val="66A000A1"/>
    <w:rsid w:val="66B933AF"/>
    <w:rsid w:val="67314E72"/>
    <w:rsid w:val="675F7B13"/>
    <w:rsid w:val="67A8306A"/>
    <w:rsid w:val="68432491"/>
    <w:rsid w:val="685E7ED8"/>
    <w:rsid w:val="690019B5"/>
    <w:rsid w:val="694E37A1"/>
    <w:rsid w:val="694E5C4D"/>
    <w:rsid w:val="6B2D3C06"/>
    <w:rsid w:val="6B50675A"/>
    <w:rsid w:val="6BFE41F9"/>
    <w:rsid w:val="6CCA3B44"/>
    <w:rsid w:val="6D2F0963"/>
    <w:rsid w:val="6D826527"/>
    <w:rsid w:val="6D987CE0"/>
    <w:rsid w:val="6DB935FC"/>
    <w:rsid w:val="6DCA22DF"/>
    <w:rsid w:val="6E6044D6"/>
    <w:rsid w:val="6EC62C78"/>
    <w:rsid w:val="701D6D25"/>
    <w:rsid w:val="70BB6F91"/>
    <w:rsid w:val="70F15B95"/>
    <w:rsid w:val="71421A66"/>
    <w:rsid w:val="719B4166"/>
    <w:rsid w:val="72F3052E"/>
    <w:rsid w:val="732A5DC9"/>
    <w:rsid w:val="74245B78"/>
    <w:rsid w:val="743F59FE"/>
    <w:rsid w:val="74465E3B"/>
    <w:rsid w:val="74702AEE"/>
    <w:rsid w:val="74F45B7B"/>
    <w:rsid w:val="75764CF5"/>
    <w:rsid w:val="76037D43"/>
    <w:rsid w:val="762562D8"/>
    <w:rsid w:val="7641171B"/>
    <w:rsid w:val="771F5C3A"/>
    <w:rsid w:val="77D35CEF"/>
    <w:rsid w:val="7814654F"/>
    <w:rsid w:val="785F7EBC"/>
    <w:rsid w:val="78D3073D"/>
    <w:rsid w:val="79433E34"/>
    <w:rsid w:val="79AB77C5"/>
    <w:rsid w:val="7B1565F0"/>
    <w:rsid w:val="7C2414B1"/>
    <w:rsid w:val="7C2C0216"/>
    <w:rsid w:val="7D5D3A0D"/>
    <w:rsid w:val="7E1608E6"/>
    <w:rsid w:val="7E3079D8"/>
    <w:rsid w:val="7EC45960"/>
    <w:rsid w:val="7F876092"/>
    <w:rsid w:val="A97109B3"/>
    <w:rsid w:val="FF3A332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99" w:name="HTML Preformatted"/>
    <w:lsdException w:qFormat="1" w:unhideWhenUsed="0" w:uiPriority="0" w:semiHidden="0" w:name="HTML Sample"/>
    <w:lsdException w:qFormat="1" w:uiPriority="99"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widowControl w:val="0"/>
      <w:spacing w:before="340" w:after="330" w:line="578" w:lineRule="auto"/>
      <w:outlineLvl w:val="0"/>
    </w:pPr>
    <w:rPr>
      <w:b/>
      <w:bCs/>
      <w:kern w:val="44"/>
      <w:sz w:val="44"/>
    </w:rPr>
  </w:style>
  <w:style w:type="paragraph" w:styleId="5">
    <w:name w:val="heading 2"/>
    <w:basedOn w:val="1"/>
    <w:next w:val="1"/>
    <w:qFormat/>
    <w:uiPriority w:val="0"/>
    <w:pPr>
      <w:keepNext/>
      <w:keepLines/>
      <w:widowControl w:val="0"/>
      <w:spacing w:before="260" w:after="260" w:line="415" w:lineRule="auto"/>
      <w:outlineLvl w:val="1"/>
    </w:pPr>
    <w:rPr>
      <w:rFonts w:ascii="Cambria" w:hAnsi="Cambria" w:eastAsia="宋体" w:cs="Times New Roman"/>
      <w:b/>
      <w:bCs/>
      <w:sz w:val="32"/>
      <w:szCs w:val="32"/>
      <w:lang w:bidi="ar-SA"/>
    </w:rPr>
  </w:style>
  <w:style w:type="paragraph" w:styleId="6">
    <w:name w:val="heading 3"/>
    <w:basedOn w:val="1"/>
    <w:next w:val="1"/>
    <w:qFormat/>
    <w:uiPriority w:val="0"/>
    <w:pPr>
      <w:spacing w:before="100" w:beforeAutospacing="1" w:after="100" w:afterAutospacing="1"/>
      <w:jc w:val="left"/>
      <w:outlineLvl w:val="2"/>
    </w:pPr>
    <w:rPr>
      <w:rFonts w:ascii="宋体" w:eastAsia="宋体" w:cs="宋体"/>
      <w:b/>
      <w:kern w:val="0"/>
      <w:sz w:val="27"/>
      <w:szCs w:val="27"/>
      <w:lang w:val="en-US" w:eastAsia="zh-CN" w:bidi="ar"/>
    </w:rPr>
  </w:style>
  <w:style w:type="paragraph" w:styleId="7">
    <w:name w:val="heading 4"/>
    <w:basedOn w:val="5"/>
    <w:next w:val="1"/>
    <w:qFormat/>
    <w:uiPriority w:val="0"/>
    <w:pPr>
      <w:ind w:firstLine="200" w:firstLineChars="200"/>
      <w:outlineLvl w:val="3"/>
    </w:pPr>
    <w:rPr>
      <w:rFonts w:ascii="方正楷体_GBK" w:eastAsia="方正楷体_GBK"/>
      <w:sz w:val="32"/>
      <w:szCs w:val="32"/>
    </w:rPr>
  </w:style>
  <w:style w:type="character" w:default="1" w:styleId="18">
    <w:name w:val="Default Paragraph Font"/>
    <w:qFormat/>
    <w:uiPriority w:val="0"/>
  </w:style>
  <w:style w:type="table" w:default="1" w:styleId="17">
    <w:name w:val="Normal Table"/>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Indent"/>
    <w:basedOn w:val="1"/>
    <w:link w:val="133"/>
    <w:qFormat/>
    <w:uiPriority w:val="0"/>
    <w:pPr>
      <w:ind w:firstLine="200" w:firstLineChars="200"/>
    </w:pPr>
    <w:rPr>
      <w:sz w:val="32"/>
    </w:rPr>
  </w:style>
  <w:style w:type="paragraph" w:styleId="8">
    <w:name w:val="annotation text"/>
    <w:basedOn w:val="1"/>
    <w:qFormat/>
    <w:uiPriority w:val="0"/>
    <w:pPr>
      <w:jc w:val="left"/>
    </w:pPr>
  </w:style>
  <w:style w:type="paragraph" w:styleId="9">
    <w:name w:val="Balloon Text"/>
    <w:basedOn w:val="1"/>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footnote text"/>
    <w:basedOn w:val="1"/>
    <w:qFormat/>
    <w:uiPriority w:val="0"/>
    <w:pPr>
      <w:snapToGrid w:val="0"/>
      <w:jc w:val="left"/>
    </w:pPr>
    <w:rPr>
      <w:sz w:val="18"/>
    </w:rPr>
  </w:style>
  <w:style w:type="paragraph" w:styleId="14">
    <w:name w:val="toc 2"/>
    <w:basedOn w:val="1"/>
    <w:next w:val="1"/>
    <w:qFormat/>
    <w:uiPriority w:val="0"/>
    <w:pPr>
      <w:ind w:left="200" w:leftChars="200"/>
    </w:p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annotation subject"/>
    <w:basedOn w:val="8"/>
    <w:next w:val="8"/>
    <w:qFormat/>
    <w:uiPriority w:val="0"/>
    <w:rPr>
      <w:b/>
      <w:bCs/>
    </w:rPr>
  </w:style>
  <w:style w:type="character" w:styleId="19">
    <w:name w:val="Strong"/>
    <w:qFormat/>
    <w:uiPriority w:val="0"/>
    <w:rPr>
      <w:b/>
      <w:sz w:val="20"/>
      <w:szCs w:val="20"/>
    </w:rPr>
  </w:style>
  <w:style w:type="character" w:styleId="20">
    <w:name w:val="page number"/>
    <w:basedOn w:val="18"/>
    <w:qFormat/>
    <w:uiPriority w:val="0"/>
  </w:style>
  <w:style w:type="character" w:styleId="21">
    <w:name w:val="FollowedHyperlink"/>
    <w:qFormat/>
    <w:uiPriority w:val="0"/>
    <w:rPr>
      <w:color w:val="000000"/>
      <w:u w:val="none"/>
    </w:rPr>
  </w:style>
  <w:style w:type="character" w:styleId="22">
    <w:name w:val="Emphasis"/>
    <w:qFormat/>
    <w:uiPriority w:val="0"/>
  </w:style>
  <w:style w:type="character" w:styleId="23">
    <w:name w:val="HTML Definition"/>
    <w:qFormat/>
    <w:uiPriority w:val="0"/>
  </w:style>
  <w:style w:type="character" w:styleId="24">
    <w:name w:val="HTML Typewriter"/>
    <w:unhideWhenUsed/>
    <w:qFormat/>
    <w:uiPriority w:val="99"/>
    <w:rPr>
      <w:rFonts w:hint="default" w:ascii="Courier New" w:hAnsi="Courier New" w:cs="Courier New"/>
      <w:sz w:val="20"/>
    </w:rPr>
  </w:style>
  <w:style w:type="character" w:styleId="25">
    <w:name w:val="HTML Acronym"/>
    <w:qFormat/>
    <w:uiPriority w:val="0"/>
  </w:style>
  <w:style w:type="character" w:styleId="26">
    <w:name w:val="HTML Variable"/>
    <w:qFormat/>
    <w:uiPriority w:val="0"/>
  </w:style>
  <w:style w:type="character" w:styleId="27">
    <w:name w:val="Hyperlink"/>
    <w:qFormat/>
    <w:uiPriority w:val="0"/>
    <w:rPr>
      <w:color w:val="000000"/>
      <w:u w:val="none"/>
    </w:rPr>
  </w:style>
  <w:style w:type="character" w:styleId="28">
    <w:name w:val="HTML Code"/>
    <w:qFormat/>
    <w:uiPriority w:val="0"/>
    <w:rPr>
      <w:rFonts w:hint="default" w:ascii="Courier New" w:hAnsi="Courier New" w:cs="Courier New"/>
      <w:sz w:val="20"/>
    </w:rPr>
  </w:style>
  <w:style w:type="character" w:styleId="29">
    <w:name w:val="annotation reference"/>
    <w:qFormat/>
    <w:uiPriority w:val="0"/>
    <w:rPr>
      <w:sz w:val="21"/>
      <w:szCs w:val="21"/>
    </w:rPr>
  </w:style>
  <w:style w:type="character" w:styleId="30">
    <w:name w:val="HTML Cite"/>
    <w:qFormat/>
    <w:uiPriority w:val="0"/>
  </w:style>
  <w:style w:type="character" w:styleId="31">
    <w:name w:val="footnote reference"/>
    <w:qFormat/>
    <w:uiPriority w:val="0"/>
    <w:rPr>
      <w:vertAlign w:val="superscript"/>
    </w:rPr>
  </w:style>
  <w:style w:type="character" w:styleId="32">
    <w:name w:val="HTML Keyboard"/>
    <w:qFormat/>
    <w:uiPriority w:val="0"/>
    <w:rPr>
      <w:rFonts w:ascii="Consolas" w:hAnsi="Consolas" w:eastAsia="Consolas" w:cs="Consolas"/>
      <w:color w:val="FFFFFF"/>
      <w:sz w:val="21"/>
      <w:szCs w:val="21"/>
      <w:shd w:val="clear" w:color="auto" w:fill="333333"/>
      <w:lang w:bidi="ar-SA"/>
    </w:rPr>
  </w:style>
  <w:style w:type="character" w:styleId="33">
    <w:name w:val="HTML Sample"/>
    <w:qFormat/>
    <w:uiPriority w:val="0"/>
    <w:rPr>
      <w:rFonts w:ascii="Consolas" w:hAnsi="Consolas" w:eastAsia="Consolas" w:cs="Consolas"/>
      <w:sz w:val="21"/>
      <w:szCs w:val="21"/>
      <w:lang w:bidi="ar-SA"/>
    </w:rPr>
  </w:style>
  <w:style w:type="character" w:customStyle="1" w:styleId="34">
    <w:name w:val="cur6"/>
    <w:qFormat/>
    <w:uiPriority w:val="0"/>
    <w:rPr>
      <w:color w:val="3354A2"/>
    </w:rPr>
  </w:style>
  <w:style w:type="character" w:customStyle="1" w:styleId="35">
    <w:name w:val="font41"/>
    <w:qFormat/>
    <w:uiPriority w:val="0"/>
    <w:rPr>
      <w:rFonts w:ascii="宋体" w:eastAsia="宋体" w:cs="宋体"/>
      <w:color w:val="000000"/>
      <w:sz w:val="22"/>
      <w:szCs w:val="22"/>
      <w:u w:val="none"/>
      <w:lang w:bidi="ar-SA"/>
    </w:rPr>
  </w:style>
  <w:style w:type="character" w:customStyle="1" w:styleId="36">
    <w:name w:val="hover11"/>
    <w:qFormat/>
    <w:uiPriority w:val="0"/>
    <w:rPr>
      <w:color w:val="000000"/>
      <w:shd w:val="clear" w:color="auto" w:fill="FFFFFF"/>
    </w:rPr>
  </w:style>
  <w:style w:type="character" w:customStyle="1" w:styleId="37">
    <w:name w:val="time"/>
    <w:qFormat/>
    <w:uiPriority w:val="0"/>
    <w:rPr>
      <w:color w:val="747474"/>
    </w:rPr>
  </w:style>
  <w:style w:type="character" w:customStyle="1" w:styleId="38">
    <w:name w:val="item-name"/>
    <w:qFormat/>
    <w:uiPriority w:val="0"/>
  </w:style>
  <w:style w:type="character" w:customStyle="1" w:styleId="39">
    <w:name w:val="page_next"/>
    <w:qFormat/>
    <w:uiPriority w:val="0"/>
  </w:style>
  <w:style w:type="character" w:customStyle="1" w:styleId="40">
    <w:name w:val="curr"/>
    <w:qFormat/>
    <w:uiPriority w:val="0"/>
    <w:rPr>
      <w:color w:val="FFFFFF"/>
      <w:shd w:val="clear" w:color="auto" w:fill="76BCEB"/>
    </w:rPr>
  </w:style>
  <w:style w:type="character" w:customStyle="1" w:styleId="41">
    <w:name w:val="hover48"/>
    <w:qFormat/>
    <w:uiPriority w:val="0"/>
    <w:rPr>
      <w:u w:val="single"/>
    </w:rPr>
  </w:style>
  <w:style w:type="character" w:customStyle="1" w:styleId="42">
    <w:name w:val="r-search1"/>
    <w:qFormat/>
    <w:uiPriority w:val="0"/>
  </w:style>
  <w:style w:type="character" w:customStyle="1" w:styleId="43">
    <w:name w:val="jdcx_xcbm"/>
    <w:qFormat/>
    <w:uiPriority w:val="0"/>
  </w:style>
  <w:style w:type="character" w:customStyle="1" w:styleId="44">
    <w:name w:val="yj-blue"/>
    <w:qFormat/>
    <w:uiPriority w:val="0"/>
    <w:rPr>
      <w:b/>
      <w:color w:val="FFFFFF"/>
      <w:sz w:val="21"/>
      <w:szCs w:val="21"/>
      <w:shd w:val="clear" w:color="auto" w:fill="1E84CB"/>
    </w:rPr>
  </w:style>
  <w:style w:type="character" w:customStyle="1" w:styleId="45">
    <w:name w:val="hover15"/>
    <w:qFormat/>
    <w:uiPriority w:val="0"/>
    <w:rPr>
      <w:b/>
    </w:rPr>
  </w:style>
  <w:style w:type="character" w:customStyle="1" w:styleId="46">
    <w:name w:val="page_prev"/>
    <w:qFormat/>
    <w:uiPriority w:val="0"/>
  </w:style>
  <w:style w:type="character" w:customStyle="1" w:styleId="47">
    <w:name w:val="font71"/>
    <w:qFormat/>
    <w:uiPriority w:val="0"/>
    <w:rPr>
      <w:rFonts w:ascii="Times New Roman" w:hAnsi="Times New Roman" w:cs="Times New Roman"/>
      <w:color w:val="0000FF"/>
      <w:sz w:val="22"/>
      <w:szCs w:val="22"/>
      <w:u w:val="none"/>
      <w:lang w:bidi="ar-SA"/>
    </w:rPr>
  </w:style>
  <w:style w:type="character" w:customStyle="1" w:styleId="48">
    <w:name w:val="bds_nopic1"/>
    <w:qFormat/>
    <w:uiPriority w:val="0"/>
  </w:style>
  <w:style w:type="character" w:customStyle="1" w:styleId="49">
    <w:name w:val="hover18"/>
    <w:qFormat/>
    <w:uiPriority w:val="0"/>
    <w:rPr>
      <w:b/>
    </w:rPr>
  </w:style>
  <w:style w:type="character" w:customStyle="1" w:styleId="50">
    <w:name w:val="font11"/>
    <w:qFormat/>
    <w:uiPriority w:val="0"/>
    <w:rPr>
      <w:rFonts w:ascii="方正仿宋_GBK" w:eastAsia="方正仿宋_GBK" w:cs="方正仿宋_GBK"/>
      <w:color w:val="FF0000"/>
      <w:sz w:val="22"/>
      <w:szCs w:val="22"/>
      <w:u w:val="none"/>
      <w:lang w:bidi="ar-SA"/>
    </w:rPr>
  </w:style>
  <w:style w:type="character" w:customStyle="1" w:styleId="51">
    <w:name w:val="wx-space1"/>
    <w:qFormat/>
    <w:uiPriority w:val="0"/>
  </w:style>
  <w:style w:type="character" w:customStyle="1" w:styleId="52">
    <w:name w:val="cur5"/>
    <w:qFormat/>
    <w:uiPriority w:val="0"/>
    <w:rPr>
      <w:color w:val="3354A2"/>
    </w:rPr>
  </w:style>
  <w:style w:type="character" w:customStyle="1" w:styleId="53">
    <w:name w:val="swiper-pagination-bullet-active4"/>
    <w:qFormat/>
    <w:uiPriority w:val="0"/>
  </w:style>
  <w:style w:type="character" w:customStyle="1" w:styleId="54">
    <w:name w:val="font61"/>
    <w:qFormat/>
    <w:uiPriority w:val="0"/>
    <w:rPr>
      <w:rFonts w:ascii="方正仿宋_GBK" w:eastAsia="方正仿宋_GBK" w:cs="方正仿宋_GBK"/>
      <w:color w:val="0000FF"/>
      <w:sz w:val="22"/>
      <w:szCs w:val="22"/>
      <w:u w:val="none"/>
      <w:lang w:bidi="ar-SA"/>
    </w:rPr>
  </w:style>
  <w:style w:type="character" w:customStyle="1" w:styleId="55">
    <w:name w:val="hover10"/>
    <w:qFormat/>
    <w:uiPriority w:val="0"/>
    <w:rPr>
      <w:color w:val="000000"/>
      <w:shd w:val="clear" w:color="auto" w:fill="FFFFFF"/>
    </w:rPr>
  </w:style>
  <w:style w:type="character" w:customStyle="1" w:styleId="56">
    <w:name w:val="select2-selection__rendered"/>
    <w:qFormat/>
    <w:uiPriority w:val="0"/>
    <w:rPr>
      <w:sz w:val="18"/>
      <w:szCs w:val="18"/>
    </w:rPr>
  </w:style>
  <w:style w:type="character" w:customStyle="1" w:styleId="57">
    <w:name w:val="pubdate-month"/>
    <w:qFormat/>
    <w:uiPriority w:val="0"/>
    <w:rPr>
      <w:color w:val="FFFFFF"/>
      <w:sz w:val="24"/>
      <w:szCs w:val="24"/>
      <w:shd w:val="clear" w:color="auto" w:fill="CC0000"/>
    </w:rPr>
  </w:style>
  <w:style w:type="character" w:customStyle="1" w:styleId="58">
    <w:name w:val="bds_more1"/>
    <w:qFormat/>
    <w:uiPriority w:val="0"/>
    <w:rPr>
      <w:rFonts w:ascii="宋体" w:eastAsia="宋体" w:cs="宋体"/>
      <w:lang w:bidi="ar-SA"/>
    </w:rPr>
  </w:style>
  <w:style w:type="character" w:customStyle="1" w:styleId="59">
    <w:name w:val="yj-time1"/>
    <w:qFormat/>
    <w:uiPriority w:val="0"/>
    <w:rPr>
      <w:color w:val="AAAAAA"/>
      <w:sz w:val="18"/>
      <w:szCs w:val="18"/>
    </w:rPr>
  </w:style>
  <w:style w:type="character" w:customStyle="1" w:styleId="60">
    <w:name w:val="tit12"/>
    <w:qFormat/>
    <w:uiPriority w:val="0"/>
    <w:rPr>
      <w:b/>
      <w:color w:val="333333"/>
      <w:sz w:val="39"/>
      <w:szCs w:val="39"/>
    </w:rPr>
  </w:style>
  <w:style w:type="character" w:customStyle="1" w:styleId="61">
    <w:name w:val="cur"/>
    <w:qFormat/>
    <w:uiPriority w:val="0"/>
    <w:rPr>
      <w:color w:val="3354A2"/>
    </w:rPr>
  </w:style>
  <w:style w:type="character" w:customStyle="1" w:styleId="62">
    <w:name w:val="bg-ico"/>
    <w:qFormat/>
    <w:uiPriority w:val="0"/>
    <w:rPr>
      <w:shd w:val="clear" w:color="auto" w:fill="E0E0E0"/>
    </w:rPr>
  </w:style>
  <w:style w:type="character" w:customStyle="1" w:styleId="63">
    <w:name w:val="wap-blue"/>
    <w:qFormat/>
    <w:uiPriority w:val="0"/>
    <w:rPr>
      <w:color w:val="4D95E3"/>
    </w:rPr>
  </w:style>
  <w:style w:type="character" w:customStyle="1" w:styleId="64">
    <w:name w:val="hover19"/>
    <w:qFormat/>
    <w:uiPriority w:val="0"/>
    <w:rPr>
      <w:b/>
    </w:rPr>
  </w:style>
  <w:style w:type="character" w:customStyle="1" w:styleId="65">
    <w:name w:val="font81"/>
    <w:qFormat/>
    <w:uiPriority w:val="0"/>
    <w:rPr>
      <w:rFonts w:ascii="方正仿宋_GBK" w:eastAsia="方正仿宋_GBK" w:cs="方正仿宋_GBK"/>
      <w:color w:val="000000"/>
      <w:sz w:val="22"/>
      <w:szCs w:val="22"/>
      <w:u w:val="none"/>
      <w:lang w:bidi="ar-SA"/>
    </w:rPr>
  </w:style>
  <w:style w:type="character" w:customStyle="1" w:styleId="66">
    <w:name w:val="z-crt2"/>
    <w:qFormat/>
    <w:uiPriority w:val="0"/>
    <w:rPr>
      <w:color w:val="FFFFFF"/>
      <w:bdr w:val="single" w:color="5294E5" w:sz="6" w:space="0"/>
      <w:shd w:val="clear" w:color="auto" w:fill="5294E5"/>
    </w:rPr>
  </w:style>
  <w:style w:type="character" w:customStyle="1" w:styleId="67">
    <w:name w:val="tit"/>
    <w:qFormat/>
    <w:uiPriority w:val="0"/>
    <w:rPr>
      <w:b/>
      <w:color w:val="333333"/>
      <w:sz w:val="39"/>
      <w:szCs w:val="39"/>
    </w:rPr>
  </w:style>
  <w:style w:type="character" w:customStyle="1" w:styleId="68">
    <w:name w:val="ewm"/>
    <w:qFormat/>
    <w:uiPriority w:val="0"/>
  </w:style>
  <w:style w:type="character" w:customStyle="1" w:styleId="69">
    <w:name w:val="active2"/>
    <w:qFormat/>
    <w:uiPriority w:val="0"/>
    <w:rPr>
      <w:color w:val="FFFFFF"/>
    </w:rPr>
  </w:style>
  <w:style w:type="character" w:customStyle="1" w:styleId="70">
    <w:name w:val="zc-word"/>
    <w:qFormat/>
    <w:uiPriority w:val="0"/>
    <w:rPr>
      <w:sz w:val="22"/>
      <w:szCs w:val="22"/>
    </w:rPr>
  </w:style>
  <w:style w:type="character" w:customStyle="1" w:styleId="71">
    <w:name w:val="con"/>
    <w:qFormat/>
    <w:uiPriority w:val="0"/>
  </w:style>
  <w:style w:type="character" w:customStyle="1" w:styleId="72">
    <w:name w:val="con4"/>
    <w:qFormat/>
    <w:uiPriority w:val="0"/>
  </w:style>
  <w:style w:type="character" w:customStyle="1" w:styleId="73">
    <w:name w:val="font21"/>
    <w:qFormat/>
    <w:uiPriority w:val="0"/>
    <w:rPr>
      <w:rFonts w:ascii="宋体" w:eastAsia="宋体" w:cs="宋体"/>
      <w:color w:val="000000"/>
      <w:sz w:val="22"/>
      <w:szCs w:val="22"/>
      <w:u w:val="none"/>
      <w:lang w:bidi="ar-SA"/>
    </w:rPr>
  </w:style>
  <w:style w:type="character" w:customStyle="1" w:styleId="74">
    <w:name w:val="yjl"/>
    <w:qFormat/>
    <w:uiPriority w:val="0"/>
    <w:rPr>
      <w:color w:val="999999"/>
    </w:rPr>
  </w:style>
  <w:style w:type="character" w:customStyle="1" w:styleId="75">
    <w:name w:val="pubdate-day"/>
    <w:qFormat/>
    <w:uiPriority w:val="0"/>
    <w:rPr>
      <w:shd w:val="clear" w:color="auto" w:fill="F2F2F2"/>
    </w:rPr>
  </w:style>
  <w:style w:type="character" w:customStyle="1" w:styleId="76">
    <w:name w:val="tit10"/>
    <w:qFormat/>
    <w:uiPriority w:val="0"/>
    <w:rPr>
      <w:b/>
      <w:color w:val="333333"/>
      <w:sz w:val="39"/>
      <w:szCs w:val="39"/>
    </w:rPr>
  </w:style>
  <w:style w:type="character" w:customStyle="1" w:styleId="77">
    <w:name w:val="hover17"/>
    <w:qFormat/>
    <w:uiPriority w:val="0"/>
    <w:rPr>
      <w:b/>
    </w:rPr>
  </w:style>
  <w:style w:type="character" w:customStyle="1" w:styleId="78">
    <w:name w:val="cur4"/>
    <w:qFormat/>
    <w:uiPriority w:val="0"/>
    <w:rPr>
      <w:color w:val="3354A2"/>
    </w:rPr>
  </w:style>
  <w:style w:type="character" w:customStyle="1" w:styleId="79">
    <w:name w:val="w100"/>
    <w:qFormat/>
    <w:uiPriority w:val="0"/>
  </w:style>
  <w:style w:type="character" w:customStyle="1" w:styleId="80">
    <w:name w:val="cur1"/>
    <w:qFormat/>
    <w:uiPriority w:val="0"/>
    <w:rPr>
      <w:color w:val="3354A2"/>
    </w:rPr>
  </w:style>
  <w:style w:type="character" w:customStyle="1" w:styleId="81">
    <w:name w:val="yj-time2"/>
    <w:qFormat/>
    <w:uiPriority w:val="0"/>
    <w:rPr>
      <w:color w:val="AAAAAA"/>
      <w:sz w:val="18"/>
      <w:szCs w:val="18"/>
    </w:rPr>
  </w:style>
  <w:style w:type="character" w:customStyle="1" w:styleId="82">
    <w:name w:val="red3"/>
    <w:qFormat/>
    <w:uiPriority w:val="0"/>
    <w:rPr>
      <w:color w:val="E1211F"/>
    </w:rPr>
  </w:style>
  <w:style w:type="character" w:customStyle="1" w:styleId="83">
    <w:name w:val="hover14"/>
    <w:qFormat/>
    <w:uiPriority w:val="0"/>
    <w:rPr>
      <w:color w:val="FFFFFF"/>
    </w:rPr>
  </w:style>
  <w:style w:type="character" w:customStyle="1" w:styleId="84">
    <w:name w:val="cur3"/>
    <w:qFormat/>
    <w:uiPriority w:val="0"/>
    <w:rPr>
      <w:color w:val="3354A2"/>
    </w:rPr>
  </w:style>
  <w:style w:type="character" w:customStyle="1" w:styleId="85">
    <w:name w:val="data1"/>
    <w:qFormat/>
    <w:uiPriority w:val="0"/>
    <w:rPr>
      <w:rFonts w:ascii="宋体" w:eastAsia="宋体" w:cs="宋体"/>
      <w:color w:val="595757"/>
      <w:sz w:val="22"/>
      <w:szCs w:val="22"/>
      <w:lang w:bidi="ar-SA"/>
    </w:rPr>
  </w:style>
  <w:style w:type="character" w:customStyle="1" w:styleId="86">
    <w:name w:val="bds_more2"/>
    <w:qFormat/>
    <w:uiPriority w:val="0"/>
  </w:style>
  <w:style w:type="character" w:customStyle="1" w:styleId="87">
    <w:name w:val="font91"/>
    <w:qFormat/>
    <w:uiPriority w:val="0"/>
    <w:rPr>
      <w:rFonts w:ascii="方正仿宋_GBK" w:eastAsia="方正仿宋_GBK" w:cs="方正仿宋_GBK"/>
      <w:color w:val="000000"/>
      <w:sz w:val="22"/>
      <w:szCs w:val="22"/>
      <w:u w:val="none"/>
      <w:lang w:bidi="ar-SA"/>
    </w:rPr>
  </w:style>
  <w:style w:type="character" w:customStyle="1" w:styleId="88">
    <w:name w:val="item-name1"/>
    <w:qFormat/>
    <w:uiPriority w:val="0"/>
  </w:style>
  <w:style w:type="character" w:customStyle="1" w:styleId="89">
    <w:name w:val="tyhl"/>
    <w:qFormat/>
    <w:uiPriority w:val="0"/>
    <w:rPr>
      <w:shd w:val="clear" w:color="auto" w:fill="FFFFFF"/>
    </w:rPr>
  </w:style>
  <w:style w:type="character" w:customStyle="1" w:styleId="90">
    <w:name w:val="jiabin"/>
    <w:qFormat/>
    <w:uiPriority w:val="0"/>
  </w:style>
  <w:style w:type="character" w:customStyle="1" w:styleId="91">
    <w:name w:val="double2"/>
    <w:qFormat/>
    <w:uiPriority w:val="0"/>
  </w:style>
  <w:style w:type="character" w:customStyle="1" w:styleId="92">
    <w:name w:val="jdcx_p_c22"/>
    <w:qFormat/>
    <w:uiPriority w:val="0"/>
    <w:rPr>
      <w:color w:val="666666"/>
    </w:rPr>
  </w:style>
  <w:style w:type="character" w:customStyle="1" w:styleId="93">
    <w:name w:val="hover"/>
    <w:qFormat/>
    <w:uiPriority w:val="0"/>
    <w:rPr>
      <w:b/>
    </w:rPr>
  </w:style>
  <w:style w:type="character" w:customStyle="1" w:styleId="94">
    <w:name w:val="red5"/>
    <w:qFormat/>
    <w:uiPriority w:val="0"/>
    <w:rPr>
      <w:color w:val="E1211F"/>
    </w:rPr>
  </w:style>
  <w:style w:type="character" w:customStyle="1" w:styleId="95">
    <w:name w:val="creatime"/>
    <w:qFormat/>
    <w:uiPriority w:val="0"/>
    <w:rPr>
      <w:color w:val="999999"/>
      <w:sz w:val="18"/>
      <w:szCs w:val="18"/>
    </w:rPr>
  </w:style>
  <w:style w:type="character" w:customStyle="1" w:styleId="96">
    <w:name w:val="curr1"/>
    <w:qFormat/>
    <w:uiPriority w:val="0"/>
    <w:rPr>
      <w:b/>
      <w:color w:val="0680E4"/>
    </w:rPr>
  </w:style>
  <w:style w:type="character" w:customStyle="1" w:styleId="97">
    <w:name w:val="cur2"/>
    <w:qFormat/>
    <w:uiPriority w:val="0"/>
    <w:rPr>
      <w:color w:val="3354A2"/>
    </w:rPr>
  </w:style>
  <w:style w:type="character" w:customStyle="1" w:styleId="98">
    <w:name w:val="active"/>
    <w:qFormat/>
    <w:uiPriority w:val="0"/>
    <w:rPr>
      <w:color w:val="FFFFFF"/>
    </w:rPr>
  </w:style>
  <w:style w:type="character" w:customStyle="1" w:styleId="99">
    <w:name w:val="z-crt1"/>
    <w:qFormat/>
    <w:uiPriority w:val="0"/>
    <w:rPr>
      <w:color w:val="FFFFFF"/>
      <w:bdr w:val="single" w:color="5295E6" w:sz="6" w:space="0"/>
      <w:shd w:val="clear" w:color="auto" w:fill="5295E6"/>
    </w:rPr>
  </w:style>
  <w:style w:type="character" w:customStyle="1" w:styleId="100">
    <w:name w:val="wap-cont"/>
    <w:qFormat/>
    <w:uiPriority w:val="0"/>
  </w:style>
  <w:style w:type="character" w:customStyle="1" w:styleId="101">
    <w:name w:val="bds_nopic"/>
    <w:qFormat/>
    <w:uiPriority w:val="0"/>
  </w:style>
  <w:style w:type="character" w:customStyle="1" w:styleId="102">
    <w:name w:val="dragbtn"/>
    <w:qFormat/>
    <w:uiPriority w:val="0"/>
  </w:style>
  <w:style w:type="character" w:customStyle="1" w:styleId="103">
    <w:name w:val="w90"/>
    <w:qFormat/>
    <w:uiPriority w:val="0"/>
  </w:style>
  <w:style w:type="character" w:customStyle="1" w:styleId="104">
    <w:name w:val="hover9"/>
    <w:qFormat/>
    <w:uiPriority w:val="0"/>
    <w:rPr>
      <w:b/>
    </w:rPr>
  </w:style>
  <w:style w:type="character" w:customStyle="1" w:styleId="105">
    <w:name w:val="w902"/>
    <w:qFormat/>
    <w:uiPriority w:val="0"/>
  </w:style>
  <w:style w:type="character" w:customStyle="1" w:styleId="106">
    <w:name w:val="hover12"/>
    <w:qFormat/>
    <w:uiPriority w:val="0"/>
    <w:rPr>
      <w:color w:val="FFFFFF"/>
    </w:rPr>
  </w:style>
  <w:style w:type="character" w:customStyle="1" w:styleId="107">
    <w:name w:val="disable"/>
    <w:qFormat/>
    <w:uiPriority w:val="0"/>
    <w:rPr>
      <w:color w:val="666666"/>
      <w:shd w:val="clear" w:color="auto" w:fill="E9E9E9"/>
    </w:rPr>
  </w:style>
  <w:style w:type="character" w:customStyle="1" w:styleId="108">
    <w:name w:val="jdcx_p_c2"/>
    <w:qFormat/>
    <w:uiPriority w:val="0"/>
    <w:rPr>
      <w:color w:val="666666"/>
    </w:rPr>
  </w:style>
  <w:style w:type="character" w:customStyle="1" w:styleId="109">
    <w:name w:val="pub-website-w"/>
    <w:qFormat/>
    <w:uiPriority w:val="0"/>
  </w:style>
  <w:style w:type="character" w:customStyle="1" w:styleId="110">
    <w:name w:val="wx-space"/>
    <w:qFormat/>
    <w:uiPriority w:val="0"/>
  </w:style>
  <w:style w:type="character" w:customStyle="1" w:styleId="111">
    <w:name w:val="hover20"/>
    <w:qFormat/>
    <w:uiPriority w:val="0"/>
    <w:rPr>
      <w:b/>
    </w:rPr>
  </w:style>
  <w:style w:type="character" w:customStyle="1" w:styleId="112">
    <w:name w:val="layui-this"/>
    <w:qFormat/>
    <w:uiPriority w:val="0"/>
    <w:rPr>
      <w:bdr w:val="single" w:color="EEEEEE" w:sz="6" w:space="0"/>
      <w:shd w:val="clear" w:color="auto" w:fill="FFFFFF"/>
    </w:rPr>
  </w:style>
  <w:style w:type="character" w:customStyle="1" w:styleId="113">
    <w:name w:val="con3"/>
    <w:qFormat/>
    <w:uiPriority w:val="0"/>
  </w:style>
  <w:style w:type="character" w:customStyle="1" w:styleId="114">
    <w:name w:val="name"/>
    <w:qFormat/>
    <w:uiPriority w:val="0"/>
    <w:rPr>
      <w:color w:val="2760B7"/>
    </w:rPr>
  </w:style>
  <w:style w:type="character" w:customStyle="1" w:styleId="115">
    <w:name w:val="red2"/>
    <w:qFormat/>
    <w:uiPriority w:val="0"/>
    <w:rPr>
      <w:color w:val="E1211F"/>
    </w:rPr>
  </w:style>
  <w:style w:type="character" w:customStyle="1" w:styleId="116">
    <w:name w:val="tit2"/>
    <w:qFormat/>
    <w:uiPriority w:val="0"/>
    <w:rPr>
      <w:b/>
      <w:color w:val="333333"/>
      <w:sz w:val="39"/>
      <w:szCs w:val="39"/>
    </w:rPr>
  </w:style>
  <w:style w:type="character" w:customStyle="1" w:styleId="117">
    <w:name w:val="layui-layer-tabnow"/>
    <w:qFormat/>
    <w:uiPriority w:val="0"/>
    <w:rPr>
      <w:bdr w:val="single" w:color="CCCCCC" w:sz="6" w:space="0"/>
      <w:shd w:val="clear" w:color="auto" w:fill="FFFFFF"/>
    </w:rPr>
  </w:style>
  <w:style w:type="character" w:customStyle="1" w:styleId="118">
    <w:name w:val="tit9"/>
    <w:qFormat/>
    <w:uiPriority w:val="0"/>
    <w:rPr>
      <w:b/>
      <w:color w:val="333333"/>
      <w:sz w:val="39"/>
      <w:szCs w:val="39"/>
    </w:rPr>
  </w:style>
  <w:style w:type="character" w:customStyle="1" w:styleId="119">
    <w:name w:val="first-child"/>
    <w:qFormat/>
    <w:uiPriority w:val="0"/>
  </w:style>
  <w:style w:type="character" w:customStyle="1" w:styleId="120">
    <w:name w:val="tit11"/>
    <w:qFormat/>
    <w:uiPriority w:val="0"/>
    <w:rPr>
      <w:b/>
      <w:color w:val="333333"/>
      <w:sz w:val="39"/>
      <w:szCs w:val="39"/>
    </w:rPr>
  </w:style>
  <w:style w:type="character" w:customStyle="1" w:styleId="121">
    <w:name w:val="double"/>
    <w:qFormat/>
    <w:uiPriority w:val="0"/>
  </w:style>
  <w:style w:type="character" w:customStyle="1" w:styleId="122">
    <w:name w:val="hover7"/>
    <w:qFormat/>
    <w:uiPriority w:val="0"/>
  </w:style>
  <w:style w:type="character" w:customStyle="1" w:styleId="123">
    <w:name w:val="direct"/>
    <w:qFormat/>
    <w:uiPriority w:val="0"/>
  </w:style>
  <w:style w:type="character" w:customStyle="1" w:styleId="124">
    <w:name w:val="r-search"/>
    <w:qFormat/>
    <w:uiPriority w:val="0"/>
  </w:style>
  <w:style w:type="character" w:customStyle="1" w:styleId="125">
    <w:name w:val="yjr"/>
    <w:qFormat/>
    <w:uiPriority w:val="0"/>
  </w:style>
  <w:style w:type="character" w:customStyle="1" w:styleId="126">
    <w:name w:val="index-module_accountauthentication_3bwix"/>
    <w:qFormat/>
    <w:uiPriority w:val="0"/>
  </w:style>
  <w:style w:type="character" w:customStyle="1" w:styleId="127">
    <w:name w:val="hover34"/>
    <w:qFormat/>
    <w:uiPriority w:val="0"/>
    <w:rPr>
      <w:color w:val="FFFFFF"/>
      <w:bdr w:val="single" w:color="5294E5" w:sz="6" w:space="0"/>
      <w:shd w:val="clear" w:color="auto" w:fill="5294E5"/>
    </w:rPr>
  </w:style>
  <w:style w:type="character" w:customStyle="1" w:styleId="128">
    <w:name w:val="red"/>
    <w:qFormat/>
    <w:uiPriority w:val="0"/>
    <w:rPr>
      <w:color w:val="E1211F"/>
    </w:rPr>
  </w:style>
  <w:style w:type="character" w:customStyle="1" w:styleId="129">
    <w:name w:val="bds_more"/>
    <w:qFormat/>
    <w:uiPriority w:val="0"/>
  </w:style>
  <w:style w:type="character" w:customStyle="1" w:styleId="130">
    <w:name w:val="gf"/>
    <w:qFormat/>
    <w:uiPriority w:val="0"/>
  </w:style>
  <w:style w:type="character" w:customStyle="1" w:styleId="131">
    <w:name w:val="bds_nopic2"/>
    <w:qFormat/>
    <w:uiPriority w:val="0"/>
  </w:style>
  <w:style w:type="character" w:customStyle="1" w:styleId="132">
    <w:name w:val="font01"/>
    <w:qFormat/>
    <w:uiPriority w:val="0"/>
    <w:rPr>
      <w:rFonts w:ascii="font-weight : 400" w:hAnsi="font-weight : 400" w:eastAsia="font-weight : 400" w:cs="font-weight : 400"/>
      <w:color w:val="000000"/>
      <w:sz w:val="22"/>
      <w:szCs w:val="22"/>
      <w:u w:val="none"/>
      <w:lang w:bidi="ar-SA"/>
    </w:rPr>
  </w:style>
  <w:style w:type="character" w:customStyle="1" w:styleId="133">
    <w:name w:val="正文文本缩进 Char"/>
    <w:link w:val="3"/>
    <w:qFormat/>
    <w:uiPriority w:val="0"/>
    <w:rPr>
      <w:kern w:val="2"/>
      <w:sz w:val="32"/>
      <w:szCs w:val="24"/>
    </w:rPr>
  </w:style>
  <w:style w:type="character" w:customStyle="1" w:styleId="134">
    <w:name w:val="data"/>
    <w:qFormat/>
    <w:uiPriority w:val="0"/>
    <w:rPr>
      <w:rFonts w:ascii="宋体" w:eastAsia="宋体" w:cs="宋体"/>
      <w:color w:val="595757"/>
      <w:sz w:val="27"/>
      <w:szCs w:val="27"/>
      <w:lang w:bidi="ar-SA"/>
    </w:rPr>
  </w:style>
  <w:style w:type="character" w:customStyle="1" w:styleId="135">
    <w:name w:val="handle"/>
    <w:qFormat/>
    <w:uiPriority w:val="0"/>
  </w:style>
  <w:style w:type="character" w:customStyle="1" w:styleId="136">
    <w:name w:val="font31"/>
    <w:qFormat/>
    <w:uiPriority w:val="0"/>
    <w:rPr>
      <w:rFonts w:ascii="方正仿宋_GBK" w:eastAsia="方正仿宋_GBK" w:cs="方正仿宋_GBK"/>
      <w:color w:val="000000"/>
      <w:sz w:val="24"/>
      <w:szCs w:val="24"/>
      <w:u w:val="none"/>
      <w:lang w:bidi="ar-SA"/>
    </w:rPr>
  </w:style>
  <w:style w:type="character" w:customStyle="1" w:styleId="137">
    <w:name w:val="red4"/>
    <w:qFormat/>
    <w:uiPriority w:val="0"/>
    <w:rPr>
      <w:color w:val="E33938"/>
      <w:u w:val="single"/>
    </w:rPr>
  </w:style>
  <w:style w:type="character" w:customStyle="1" w:styleId="138">
    <w:name w:val="w1802"/>
    <w:qFormat/>
    <w:uiPriority w:val="0"/>
  </w:style>
  <w:style w:type="character" w:customStyle="1" w:styleId="139">
    <w:name w:val="font51"/>
    <w:qFormat/>
    <w:uiPriority w:val="0"/>
    <w:rPr>
      <w:rFonts w:ascii="方正仿宋_GBK" w:eastAsia="方正仿宋_GBK" w:cs="方正仿宋_GBK"/>
      <w:b/>
      <w:color w:val="000000"/>
      <w:sz w:val="22"/>
      <w:szCs w:val="22"/>
      <w:u w:val="none"/>
      <w:lang w:bidi="ar-SA"/>
    </w:rPr>
  </w:style>
  <w:style w:type="character" w:customStyle="1" w:styleId="140">
    <w:name w:val="first-child1"/>
    <w:qFormat/>
    <w:uiPriority w:val="0"/>
  </w:style>
  <w:style w:type="character" w:customStyle="1" w:styleId="141">
    <w:name w:val="red1"/>
    <w:qFormat/>
    <w:uiPriority w:val="0"/>
    <w:rPr>
      <w:color w:val="E1211F"/>
      <w:u w:val="single"/>
    </w:rPr>
  </w:style>
  <w:style w:type="character" w:customStyle="1" w:styleId="142">
    <w:name w:val="tit_l"/>
    <w:qFormat/>
    <w:uiPriority w:val="0"/>
    <w:rPr>
      <w:bdr w:val="single" w:color="005192" w:sz="24" w:space="0"/>
    </w:rPr>
  </w:style>
  <w:style w:type="character" w:customStyle="1" w:styleId="143">
    <w:name w:val="yj-time3"/>
    <w:qFormat/>
    <w:uiPriority w:val="0"/>
    <w:rPr>
      <w:color w:val="AAAAAA"/>
      <w:sz w:val="18"/>
      <w:szCs w:val="18"/>
    </w:rPr>
  </w:style>
  <w:style w:type="character" w:customStyle="1" w:styleId="144">
    <w:name w:val="w180"/>
    <w:qFormat/>
    <w:uiPriority w:val="0"/>
  </w:style>
  <w:style w:type="character" w:customStyle="1" w:styleId="145">
    <w:name w:val="jdcx_p_c1"/>
    <w:qFormat/>
    <w:uiPriority w:val="0"/>
    <w:rPr>
      <w:color w:val="666666"/>
    </w:rPr>
  </w:style>
  <w:style w:type="character" w:customStyle="1" w:styleId="146">
    <w:name w:val="yj-time"/>
    <w:qFormat/>
    <w:uiPriority w:val="0"/>
    <w:rPr>
      <w:color w:val="AAAAAA"/>
      <w:sz w:val="18"/>
      <w:szCs w:val="18"/>
    </w:rPr>
  </w:style>
  <w:style w:type="paragraph" w:customStyle="1" w:styleId="14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48">
    <w:name w:val="Default"/>
    <w:next w:val="1"/>
    <w:qFormat/>
    <w:uiPriority w:val="0"/>
    <w:pPr>
      <w:widowControl w:val="0"/>
      <w:autoSpaceDE w:val="0"/>
      <w:autoSpaceDN w:val="0"/>
      <w:adjustRightInd w:val="0"/>
    </w:pPr>
    <w:rPr>
      <w:rFonts w:ascii="方正楷体_GBK" w:hAnsi="Times New Roman" w:eastAsia="方正楷体_GBK" w:cs="方正楷体_GBK"/>
      <w:color w:val="000000"/>
      <w:sz w:val="24"/>
      <w:szCs w:val="24"/>
      <w:lang w:val="en-US" w:eastAsia="zh-CN" w:bidi="ar-SA"/>
    </w:rPr>
  </w:style>
  <w:style w:type="paragraph" w:customStyle="1" w:styleId="149">
    <w:name w:val="BodyText"/>
    <w:basedOn w:val="1"/>
    <w:qFormat/>
    <w:uiPriority w:val="0"/>
  </w:style>
  <w:style w:type="paragraph" w:customStyle="1" w:styleId="150">
    <w:name w:val="正文 + (中文) 方正仿宋_GBK"/>
    <w:basedOn w:val="1"/>
    <w:qFormat/>
    <w:uiPriority w:val="0"/>
    <w:pPr>
      <w:spacing w:line="594" w:lineRule="exact"/>
      <w:ind w:firstLine="636"/>
      <w:jc w:val="left"/>
    </w:pPr>
    <w:rPr>
      <w:rFonts w:ascii="Calibri" w:hAnsi="Calibri"/>
      <w:szCs w:val="32"/>
    </w:rPr>
  </w:style>
  <w:style w:type="paragraph" w:customStyle="1" w:styleId="151">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78</Pages>
  <Words>5963</Words>
  <Characters>33995</Characters>
  <Lines>283</Lines>
  <Paragraphs>79</Paragraphs>
  <TotalTime>3</TotalTime>
  <ScaleCrop>false</ScaleCrop>
  <LinksUpToDate>false</LinksUpToDate>
  <CharactersWithSpaces>39879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2021-10-12T03:45:00Z</dcterms:created>
  <dc:creator>Administrator</dc:creator>
  <cp:lastModifiedBy> </cp:lastModifiedBy>
  <cp:lastPrinted>2021-10-14T06:38:00Z</cp:lastPrinted>
  <dcterms:modified xsi:type="dcterms:W3CDTF">2025-05-06T15:47:33Z</dcterms:modified>
  <dc:title>重庆市黔江区“十四五”商贸物流发展规划</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0_btnclosed</vt:lpwstr>
  </property>
  <property fmtid="{D5CDD505-2E9C-101B-9397-08002B2CF9AE}" pid="4" name="ICV">
    <vt:lpwstr>DC864974C9914468BE4C4A792EB5DF1A</vt:lpwstr>
  </property>
</Properties>
</file>