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FC20E0">
      <w:pPr>
        <w:pageBreakBefore w:val="0"/>
        <w:kinsoku/>
        <w:overflowPunct/>
        <w:topLinePunct w:val="0"/>
        <w:bidi w:val="0"/>
        <w:ind w:left="0" w:leftChars="0" w:right="0" w:rightChars="0"/>
        <w:textAlignment w:val="auto"/>
        <w:rPr>
          <w:rFonts w:hint="default"/>
        </w:rPr>
      </w:pPr>
    </w:p>
    <w:p w14:paraId="129B58E2">
      <w:pPr>
        <w:pStyle w:val="2"/>
        <w:pageBreakBefore w:val="0"/>
        <w:kinsoku/>
        <w:overflowPunct/>
        <w:topLinePunct w:val="0"/>
        <w:bidi w:val="0"/>
        <w:spacing w:before="0" w:after="0"/>
        <w:ind w:left="0" w:leftChars="0" w:right="0" w:rightChars="0"/>
        <w:textAlignment w:val="auto"/>
        <w:rPr>
          <w:rFonts w:hint="default"/>
        </w:rPr>
      </w:pPr>
    </w:p>
    <w:p w14:paraId="437517D0">
      <w:pPr>
        <w:pStyle w:val="5"/>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jc w:val="center"/>
        <w:textAlignment w:val="auto"/>
        <w:rPr>
          <w:rFonts w:hint="default" w:ascii="Times New Roman" w:hAnsi="Times New Roman" w:eastAsia="方正小标宋_GBK" w:cs="Times New Roman"/>
          <w:color w:val="333333"/>
          <w:kern w:val="0"/>
          <w:sz w:val="44"/>
          <w:szCs w:val="44"/>
          <w:lang w:eastAsia="zh-CN"/>
        </w:rPr>
      </w:pPr>
      <w:r>
        <w:rPr>
          <w:rFonts w:hint="default" w:ascii="Times New Roman" w:hAnsi="Times New Roman" w:eastAsia="方正小标宋_GBK" w:cs="Times New Roman"/>
          <w:color w:val="333333"/>
          <w:kern w:val="0"/>
          <w:sz w:val="44"/>
          <w:szCs w:val="44"/>
          <w:lang w:eastAsia="zh-CN"/>
        </w:rPr>
        <w:t>重庆市黔江区人民政府</w:t>
      </w:r>
    </w:p>
    <w:p w14:paraId="697BBB18">
      <w:pPr>
        <w:pStyle w:val="5"/>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jc w:val="center"/>
        <w:textAlignment w:val="auto"/>
        <w:rPr>
          <w:rFonts w:hint="default" w:ascii="Times New Roman" w:hAnsi="Times New Roman" w:eastAsia="方正小标宋_GBK" w:cs="Times New Roman"/>
          <w:color w:val="333333"/>
          <w:kern w:val="0"/>
          <w:sz w:val="44"/>
          <w:szCs w:val="44"/>
          <w:lang w:eastAsia="zh-CN"/>
        </w:rPr>
      </w:pPr>
      <w:r>
        <w:rPr>
          <w:rFonts w:hint="default" w:ascii="Times New Roman" w:hAnsi="Times New Roman" w:eastAsia="方正小标宋_GBK" w:cs="Times New Roman"/>
          <w:color w:val="333333"/>
          <w:kern w:val="0"/>
          <w:sz w:val="44"/>
          <w:szCs w:val="44"/>
          <w:lang w:eastAsia="zh-CN"/>
        </w:rPr>
        <w:t>关于</w:t>
      </w:r>
      <w:r>
        <w:rPr>
          <w:rFonts w:hint="default" w:ascii="Times New Roman" w:hAnsi="Times New Roman" w:eastAsia="方正小标宋_GBK" w:cs="Times New Roman"/>
          <w:color w:val="333333"/>
          <w:kern w:val="0"/>
          <w:sz w:val="44"/>
          <w:szCs w:val="44"/>
          <w:lang w:val="en-US" w:eastAsia="zh-CN"/>
        </w:rPr>
        <w:t>印发</w:t>
      </w:r>
      <w:r>
        <w:rPr>
          <w:rFonts w:hint="default" w:ascii="Times New Roman" w:hAnsi="Times New Roman" w:eastAsia="方正小标宋_GBK" w:cs="Times New Roman"/>
          <w:color w:val="333333"/>
          <w:kern w:val="0"/>
          <w:sz w:val="44"/>
          <w:szCs w:val="44"/>
          <w:lang w:eastAsia="zh-CN"/>
        </w:rPr>
        <w:t>《重庆市黔江区集体土地征收补偿</w:t>
      </w:r>
    </w:p>
    <w:p w14:paraId="6D794D34">
      <w:pPr>
        <w:pStyle w:val="5"/>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jc w:val="center"/>
        <w:textAlignment w:val="auto"/>
        <w:rPr>
          <w:rFonts w:hint="default" w:ascii="Times New Roman" w:hAnsi="Times New Roman" w:eastAsia="方正小标宋_GBK" w:cs="Times New Roman"/>
          <w:color w:val="333333"/>
          <w:kern w:val="0"/>
          <w:sz w:val="44"/>
          <w:szCs w:val="44"/>
          <w:lang w:eastAsia="zh-CN"/>
        </w:rPr>
      </w:pPr>
      <w:r>
        <w:rPr>
          <w:rFonts w:hint="default" w:ascii="Times New Roman" w:hAnsi="Times New Roman" w:eastAsia="方正小标宋_GBK" w:cs="Times New Roman"/>
          <w:color w:val="333333"/>
          <w:kern w:val="0"/>
          <w:sz w:val="44"/>
          <w:szCs w:val="44"/>
          <w:lang w:eastAsia="zh-CN"/>
        </w:rPr>
        <w:t>安置</w:t>
      </w:r>
      <w:r>
        <w:rPr>
          <w:rFonts w:hint="eastAsia" w:eastAsia="方正小标宋_GBK" w:cs="Times New Roman"/>
          <w:color w:val="333333"/>
          <w:kern w:val="0"/>
          <w:sz w:val="44"/>
          <w:szCs w:val="44"/>
          <w:lang w:eastAsia="zh-CN"/>
        </w:rPr>
        <w:t>实施</w:t>
      </w:r>
      <w:r>
        <w:rPr>
          <w:rFonts w:hint="default" w:ascii="Times New Roman" w:hAnsi="Times New Roman" w:eastAsia="方正小标宋_GBK" w:cs="Times New Roman"/>
          <w:color w:val="333333"/>
          <w:kern w:val="0"/>
          <w:sz w:val="44"/>
          <w:szCs w:val="44"/>
          <w:lang w:eastAsia="zh-CN"/>
        </w:rPr>
        <w:t>办法》的通知</w:t>
      </w:r>
    </w:p>
    <w:p w14:paraId="2081784A">
      <w:pPr>
        <w:pageBreakBefore w:val="0"/>
        <w:kinsoku/>
        <w:overflowPunct/>
        <w:topLinePunct w:val="0"/>
        <w:bidi w:val="0"/>
        <w:ind w:left="0" w:leftChars="0" w:right="0" w:rightChars="0"/>
        <w:jc w:val="center"/>
        <w:textAlignment w:val="auto"/>
        <w:rPr>
          <w:rFonts w:hint="default" w:ascii="Times New Roman" w:hAnsi="Times New Roman" w:eastAsia="方正仿宋_GBK" w:cs="Times New Roman"/>
          <w:color w:val="000000"/>
          <w:kern w:val="36"/>
          <w:sz w:val="32"/>
          <w:szCs w:val="32"/>
        </w:rPr>
      </w:pPr>
      <w:r>
        <w:rPr>
          <w:rFonts w:hint="default" w:ascii="Times New Roman" w:hAnsi="Times New Roman" w:eastAsia="方正仿宋_GBK" w:cs="Times New Roman"/>
          <w:color w:val="333333"/>
          <w:kern w:val="0"/>
          <w:sz w:val="32"/>
          <w:szCs w:val="32"/>
        </w:rPr>
        <w:t>黔江府发</w:t>
      </w:r>
      <w:r>
        <w:rPr>
          <w:rFonts w:hint="default" w:ascii="Times New Roman" w:hAnsi="Times New Roman" w:eastAsia="方正仿宋_GBK" w:cs="Times New Roman"/>
          <w:color w:val="000000"/>
          <w:kern w:val="36"/>
          <w:sz w:val="32"/>
          <w:szCs w:val="32"/>
        </w:rPr>
        <w:t>〔2022〕</w:t>
      </w:r>
      <w:r>
        <w:rPr>
          <w:rFonts w:hint="eastAsia" w:ascii="Times New Roman" w:hAnsi="Times New Roman" w:eastAsia="方正仿宋_GBK" w:cs="Times New Roman"/>
          <w:color w:val="000000"/>
          <w:kern w:val="36"/>
          <w:sz w:val="32"/>
          <w:szCs w:val="32"/>
          <w:lang w:val="en-US" w:eastAsia="zh-CN"/>
        </w:rPr>
        <w:t>23</w:t>
      </w:r>
      <w:r>
        <w:rPr>
          <w:rFonts w:hint="default" w:ascii="Times New Roman" w:hAnsi="Times New Roman" w:eastAsia="方正仿宋_GBK" w:cs="Times New Roman"/>
          <w:color w:val="000000"/>
          <w:kern w:val="36"/>
          <w:sz w:val="32"/>
          <w:szCs w:val="32"/>
        </w:rPr>
        <w:t>号</w:t>
      </w:r>
    </w:p>
    <w:p w14:paraId="08828BA3">
      <w:pPr>
        <w:pStyle w:val="2"/>
        <w:pageBreakBefore w:val="0"/>
        <w:kinsoku/>
        <w:overflowPunct/>
        <w:topLinePunct w:val="0"/>
        <w:bidi w:val="0"/>
        <w:spacing w:before="0" w:after="0"/>
        <w:ind w:left="0" w:leftChars="0" w:right="0" w:rightChars="0"/>
        <w:textAlignment w:val="auto"/>
        <w:rPr>
          <w:rFonts w:hint="default"/>
        </w:rPr>
      </w:pPr>
    </w:p>
    <w:p w14:paraId="40A97896">
      <w:pPr>
        <w:keepNext w:val="0"/>
        <w:keepLines w:val="0"/>
        <w:pageBreakBefore w:val="0"/>
        <w:kinsoku/>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各乡、镇人民政府，各街道办事处，区政府各部门，各区属国有重点企业、有关单位：</w:t>
      </w:r>
    </w:p>
    <w:p w14:paraId="0C2D7A5D">
      <w:pPr>
        <w:keepNext w:val="0"/>
        <w:keepLines w:val="0"/>
        <w:pageBreakBefore w:val="0"/>
        <w:widowControl/>
        <w:shd w:val="clear" w:color="auto" w:fill="FFFFFF"/>
        <w:kinsoku/>
        <w:wordWrap w:val="0"/>
        <w:overflowPunct/>
        <w:topLinePunct w:val="0"/>
        <w:autoSpaceDE/>
        <w:autoSpaceDN/>
        <w:bidi w:val="0"/>
        <w:adjustRightInd/>
        <w:snapToGrid/>
        <w:spacing w:line="600" w:lineRule="exact"/>
        <w:ind w:left="0" w:leftChars="0" w:right="0" w:rightChars="0" w:firstLine="640" w:firstLineChars="200"/>
        <w:jc w:val="left"/>
        <w:textAlignment w:val="auto"/>
        <w:rPr>
          <w:rFonts w:hint="default" w:ascii="Times New Roman" w:hAnsi="Times New Roman" w:eastAsia="方正仿宋_GBK" w:cs="Times New Roman"/>
          <w:color w:val="333333"/>
          <w:kern w:val="0"/>
          <w:sz w:val="32"/>
          <w:szCs w:val="32"/>
          <w:lang w:eastAsia="zh-CN"/>
        </w:rPr>
      </w:pPr>
      <w:r>
        <w:rPr>
          <w:rFonts w:hint="default" w:ascii="Times New Roman" w:hAnsi="Times New Roman" w:eastAsia="方正仿宋_GBK" w:cs="Times New Roman"/>
          <w:color w:val="333333"/>
          <w:kern w:val="0"/>
          <w:sz w:val="32"/>
          <w:szCs w:val="32"/>
        </w:rPr>
        <w:t>《重庆市黔江区集体土地征收补偿安置</w:t>
      </w:r>
      <w:r>
        <w:rPr>
          <w:rFonts w:hint="eastAsia" w:ascii="Times New Roman" w:hAnsi="Times New Roman" w:eastAsia="方正仿宋_GBK" w:cs="Times New Roman"/>
          <w:color w:val="333333"/>
          <w:kern w:val="0"/>
          <w:sz w:val="32"/>
          <w:szCs w:val="32"/>
          <w:lang w:eastAsia="zh-CN"/>
        </w:rPr>
        <w:t>实施</w:t>
      </w:r>
      <w:bookmarkStart w:id="0" w:name="_GoBack"/>
      <w:bookmarkEnd w:id="0"/>
      <w:r>
        <w:rPr>
          <w:rFonts w:hint="default" w:ascii="Times New Roman" w:hAnsi="Times New Roman" w:eastAsia="方正仿宋_GBK" w:cs="Times New Roman"/>
          <w:color w:val="333333"/>
          <w:kern w:val="0"/>
          <w:sz w:val="32"/>
          <w:szCs w:val="32"/>
        </w:rPr>
        <w:t>办法》</w:t>
      </w:r>
      <w:r>
        <w:rPr>
          <w:rFonts w:hint="default" w:ascii="Times New Roman" w:hAnsi="Times New Roman" w:eastAsia="方正仿宋_GBK" w:cs="Times New Roman"/>
          <w:color w:val="333333"/>
          <w:kern w:val="0"/>
          <w:sz w:val="32"/>
          <w:szCs w:val="32"/>
          <w:lang w:val="en-US" w:eastAsia="zh-CN"/>
        </w:rPr>
        <w:t>已经2022年6月23日区第五届人民政府第12次常务会议审议通过，</w:t>
      </w:r>
      <w:r>
        <w:rPr>
          <w:rFonts w:hint="default" w:ascii="Times New Roman" w:hAnsi="Times New Roman" w:eastAsia="方正仿宋_GBK" w:cs="Times New Roman"/>
          <w:color w:val="333333"/>
          <w:kern w:val="0"/>
          <w:sz w:val="32"/>
          <w:szCs w:val="32"/>
          <w:lang w:eastAsia="zh-CN"/>
        </w:rPr>
        <w:t>现予</w:t>
      </w:r>
      <w:r>
        <w:rPr>
          <w:rFonts w:hint="default" w:ascii="Times New Roman" w:hAnsi="Times New Roman" w:eastAsia="方正仿宋_GBK" w:cs="Times New Roman"/>
          <w:color w:val="333333"/>
          <w:kern w:val="0"/>
          <w:sz w:val="32"/>
          <w:szCs w:val="32"/>
          <w:lang w:val="en-US" w:eastAsia="zh-CN"/>
        </w:rPr>
        <w:t>印发</w:t>
      </w:r>
      <w:r>
        <w:rPr>
          <w:rFonts w:hint="default" w:ascii="Times New Roman" w:hAnsi="Times New Roman" w:eastAsia="方正仿宋_GBK" w:cs="Times New Roman"/>
          <w:color w:val="333333"/>
          <w:kern w:val="0"/>
          <w:sz w:val="32"/>
          <w:szCs w:val="32"/>
          <w:lang w:eastAsia="zh-CN"/>
        </w:rPr>
        <w:t>，自</w:t>
      </w:r>
      <w:r>
        <w:rPr>
          <w:rFonts w:hint="default" w:ascii="Times New Roman" w:hAnsi="Times New Roman" w:eastAsia="方正仿宋_GBK" w:cs="Times New Roman"/>
          <w:color w:val="333333"/>
          <w:kern w:val="0"/>
          <w:sz w:val="32"/>
          <w:szCs w:val="32"/>
          <w:lang w:val="en-US" w:eastAsia="zh-CN"/>
        </w:rPr>
        <w:t>2022年7月1</w:t>
      </w:r>
      <w:r>
        <w:rPr>
          <w:rFonts w:hint="default" w:ascii="Times New Roman" w:hAnsi="Times New Roman" w:eastAsia="方正仿宋_GBK" w:cs="Times New Roman"/>
          <w:color w:val="333333"/>
          <w:kern w:val="0"/>
          <w:sz w:val="32"/>
          <w:szCs w:val="32"/>
          <w:lang w:eastAsia="zh-CN"/>
        </w:rPr>
        <w:t>日起施行。</w:t>
      </w:r>
    </w:p>
    <w:p w14:paraId="5D923242">
      <w:pPr>
        <w:pStyle w:val="5"/>
        <w:keepNext w:val="0"/>
        <w:keepLines w:val="0"/>
        <w:pageBreakBefore w:val="0"/>
        <w:kinsoku/>
        <w:overflowPunct/>
        <w:topLinePunct w:val="0"/>
        <w:autoSpaceDE/>
        <w:autoSpaceDN/>
        <w:bidi w:val="0"/>
        <w:adjustRightInd/>
        <w:snapToGrid/>
        <w:spacing w:line="600" w:lineRule="exact"/>
        <w:ind w:left="0" w:leftChars="0" w:right="0" w:rightChars="0" w:firstLine="4684" w:firstLineChars="1464"/>
        <w:textAlignment w:val="auto"/>
        <w:rPr>
          <w:rFonts w:hint="default" w:ascii="Times New Roman" w:hAnsi="Times New Roman" w:eastAsia="方正仿宋_GBK" w:cs="Times New Roman"/>
          <w:color w:val="333333"/>
          <w:kern w:val="0"/>
          <w:sz w:val="32"/>
          <w:szCs w:val="32"/>
          <w:lang w:eastAsia="zh-CN"/>
        </w:rPr>
      </w:pPr>
    </w:p>
    <w:p w14:paraId="247A589A">
      <w:pPr>
        <w:pStyle w:val="5"/>
        <w:keepNext w:val="0"/>
        <w:keepLines w:val="0"/>
        <w:pageBreakBefore w:val="0"/>
        <w:kinsoku/>
        <w:overflowPunct/>
        <w:topLinePunct w:val="0"/>
        <w:autoSpaceDE/>
        <w:autoSpaceDN/>
        <w:bidi w:val="0"/>
        <w:adjustRightInd/>
        <w:snapToGrid/>
        <w:spacing w:line="600" w:lineRule="exact"/>
        <w:ind w:left="0" w:leftChars="0" w:right="0" w:rightChars="0" w:firstLine="4684" w:firstLineChars="1464"/>
        <w:textAlignment w:val="auto"/>
        <w:rPr>
          <w:rFonts w:hint="default" w:ascii="Times New Roman" w:hAnsi="Times New Roman" w:eastAsia="方正仿宋_GBK" w:cs="Times New Roman"/>
          <w:color w:val="333333"/>
          <w:kern w:val="0"/>
          <w:sz w:val="32"/>
          <w:szCs w:val="32"/>
          <w:lang w:eastAsia="zh-CN"/>
        </w:rPr>
      </w:pPr>
      <w:r>
        <w:rPr>
          <w:rFonts w:hint="default" w:ascii="Times New Roman" w:hAnsi="Times New Roman" w:eastAsia="方正仿宋_GBK" w:cs="Times New Roman"/>
          <w:color w:val="333333"/>
          <w:kern w:val="0"/>
          <w:sz w:val="32"/>
          <w:szCs w:val="32"/>
          <w:lang w:eastAsia="zh-CN"/>
        </w:rPr>
        <w:t>重庆市黔江区人民政府</w:t>
      </w:r>
    </w:p>
    <w:p w14:paraId="00F02927">
      <w:pPr>
        <w:keepNext w:val="0"/>
        <w:keepLines w:val="0"/>
        <w:pageBreakBefore w:val="0"/>
        <w:kinsoku/>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333333"/>
          <w:kern w:val="0"/>
          <w:sz w:val="32"/>
          <w:szCs w:val="32"/>
          <w:lang w:eastAsia="zh-CN"/>
        </w:rPr>
      </w:pPr>
      <w:r>
        <w:rPr>
          <w:rFonts w:hint="default" w:ascii="Times New Roman" w:hAnsi="Times New Roman" w:eastAsia="方正仿宋_GBK" w:cs="Times New Roman"/>
          <w:color w:val="333333"/>
          <w:kern w:val="0"/>
          <w:sz w:val="32"/>
          <w:szCs w:val="32"/>
        </w:rPr>
        <w:t xml:space="preserve">                               </w:t>
      </w:r>
      <w:r>
        <w:rPr>
          <w:rFonts w:hint="eastAsia" w:ascii="Times New Roman" w:hAnsi="Times New Roman" w:eastAsia="方正仿宋_GBK" w:cs="Times New Roman"/>
          <w:color w:val="333333"/>
          <w:kern w:val="0"/>
          <w:sz w:val="32"/>
          <w:szCs w:val="32"/>
          <w:lang w:val="en-US" w:eastAsia="zh-CN"/>
        </w:rPr>
        <w:t xml:space="preserve"> </w:t>
      </w:r>
      <w:r>
        <w:rPr>
          <w:rFonts w:hint="default" w:ascii="Times New Roman" w:hAnsi="Times New Roman" w:eastAsia="方正仿宋_GBK" w:cs="Times New Roman"/>
          <w:color w:val="333333"/>
          <w:kern w:val="0"/>
          <w:sz w:val="32"/>
          <w:szCs w:val="32"/>
        </w:rPr>
        <w:t xml:space="preserve"> 2022年</w:t>
      </w:r>
      <w:r>
        <w:rPr>
          <w:rFonts w:hint="default" w:ascii="Times New Roman" w:hAnsi="Times New Roman" w:eastAsia="方正仿宋_GBK" w:cs="Times New Roman"/>
          <w:color w:val="333333"/>
          <w:kern w:val="0"/>
          <w:sz w:val="32"/>
          <w:szCs w:val="32"/>
          <w:lang w:val="en-US" w:eastAsia="zh-CN"/>
        </w:rPr>
        <w:t>6</w:t>
      </w:r>
      <w:r>
        <w:rPr>
          <w:rFonts w:hint="default" w:ascii="Times New Roman" w:hAnsi="Times New Roman" w:eastAsia="方正仿宋_GBK" w:cs="Times New Roman"/>
          <w:color w:val="333333"/>
          <w:kern w:val="0"/>
          <w:sz w:val="32"/>
          <w:szCs w:val="32"/>
        </w:rPr>
        <w:t>月</w:t>
      </w:r>
      <w:r>
        <w:rPr>
          <w:rFonts w:hint="eastAsia" w:ascii="Times New Roman" w:hAnsi="Times New Roman" w:eastAsia="方正仿宋_GBK" w:cs="Times New Roman"/>
          <w:color w:val="333333"/>
          <w:kern w:val="0"/>
          <w:sz w:val="32"/>
          <w:szCs w:val="32"/>
          <w:lang w:val="en-US" w:eastAsia="zh-CN"/>
        </w:rPr>
        <w:t>30</w:t>
      </w:r>
      <w:r>
        <w:rPr>
          <w:rFonts w:hint="default" w:ascii="Times New Roman" w:hAnsi="Times New Roman" w:eastAsia="方正仿宋_GBK" w:cs="Times New Roman"/>
          <w:color w:val="333333"/>
          <w:kern w:val="0"/>
          <w:sz w:val="32"/>
          <w:szCs w:val="32"/>
        </w:rPr>
        <w:t>日</w:t>
      </w:r>
    </w:p>
    <w:p w14:paraId="2992D48A">
      <w:pPr>
        <w:pStyle w:val="5"/>
        <w:keepNext w:val="0"/>
        <w:keepLines w:val="0"/>
        <w:pageBreakBefore w:val="0"/>
        <w:kinsoku/>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333333"/>
          <w:kern w:val="0"/>
          <w:sz w:val="32"/>
          <w:szCs w:val="32"/>
          <w:lang w:eastAsia="zh-CN"/>
        </w:rPr>
      </w:pPr>
      <w:r>
        <w:rPr>
          <w:rFonts w:hint="default" w:ascii="Times New Roman" w:hAnsi="Times New Roman" w:eastAsia="方正仿宋_GBK" w:cs="Times New Roman"/>
          <w:color w:val="333333"/>
          <w:kern w:val="0"/>
          <w:sz w:val="32"/>
          <w:szCs w:val="32"/>
          <w:lang w:eastAsia="zh-CN"/>
        </w:rPr>
        <w:t>（此件公开发布）</w:t>
      </w:r>
    </w:p>
    <w:p w14:paraId="75C33385">
      <w:pPr>
        <w:pStyle w:val="2"/>
        <w:pageBreakBefore w:val="0"/>
        <w:kinsoku/>
        <w:overflowPunct/>
        <w:topLinePunct w:val="0"/>
        <w:bidi w:val="0"/>
        <w:spacing w:before="0" w:after="0"/>
        <w:ind w:left="0" w:leftChars="0" w:right="0" w:rightChars="0"/>
        <w:textAlignment w:val="auto"/>
        <w:rPr>
          <w:rFonts w:hint="default"/>
          <w:lang w:eastAsia="zh-CN"/>
        </w:rPr>
      </w:pPr>
    </w:p>
    <w:p w14:paraId="427FBD44">
      <w:pPr>
        <w:rPr>
          <w:rFonts w:hint="default"/>
          <w:lang w:eastAsia="zh-CN"/>
        </w:rPr>
      </w:pPr>
    </w:p>
    <w:p w14:paraId="437C7E6A">
      <w:pPr>
        <w:pStyle w:val="2"/>
        <w:rPr>
          <w:rFonts w:hint="default"/>
          <w:lang w:eastAsia="zh-CN"/>
        </w:rPr>
      </w:pPr>
    </w:p>
    <w:p w14:paraId="7D1ABD5F">
      <w:pPr>
        <w:pageBreakBefore w:val="0"/>
        <w:kinsoku/>
        <w:overflowPunct/>
        <w:topLinePunct w:val="0"/>
        <w:bidi w:val="0"/>
        <w:spacing w:line="560" w:lineRule="exact"/>
        <w:ind w:left="0" w:leftChars="0" w:right="0" w:right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重庆市黔江区集体土地征收补偿安置实施办法</w:t>
      </w:r>
    </w:p>
    <w:p w14:paraId="2010DA80">
      <w:pPr>
        <w:pageBreakBefore w:val="0"/>
        <w:kinsoku/>
        <w:overflowPunct/>
        <w:topLinePunct w:val="0"/>
        <w:bidi w:val="0"/>
        <w:spacing w:line="560" w:lineRule="exact"/>
        <w:ind w:left="0" w:leftChars="0" w:right="0" w:rightChars="0"/>
        <w:jc w:val="center"/>
        <w:textAlignment w:val="auto"/>
        <w:rPr>
          <w:rFonts w:hint="default" w:ascii="Times New Roman" w:hAnsi="Times New Roman" w:eastAsia="方正黑体_GBK" w:cs="Times New Roman"/>
          <w:sz w:val="32"/>
          <w:szCs w:val="32"/>
        </w:rPr>
      </w:pPr>
    </w:p>
    <w:p w14:paraId="31F727CB">
      <w:pPr>
        <w:pageBreakBefore w:val="0"/>
        <w:numPr>
          <w:ilvl w:val="0"/>
          <w:numId w:val="1"/>
        </w:numPr>
        <w:kinsoku/>
        <w:overflowPunct/>
        <w:topLinePunct w:val="0"/>
        <w:bidi w:val="0"/>
        <w:spacing w:line="560" w:lineRule="exact"/>
        <w:ind w:left="0" w:leftChars="0" w:right="0" w:rightChars="0"/>
        <w:jc w:val="center"/>
        <w:textAlignment w:val="auto"/>
        <w:rPr>
          <w:rFonts w:hint="eastAsia"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rPr>
        <w:t xml:space="preserve"> 总则</w:t>
      </w:r>
    </w:p>
    <w:p w14:paraId="11182747">
      <w:pPr>
        <w:pStyle w:val="2"/>
        <w:pageBreakBefore w:val="0"/>
        <w:kinsoku/>
        <w:overflowPunct/>
        <w:topLinePunct w:val="0"/>
        <w:bidi w:val="0"/>
        <w:spacing w:before="0" w:after="0"/>
        <w:ind w:left="0" w:leftChars="0" w:right="0" w:rightChars="0"/>
        <w:textAlignment w:val="auto"/>
        <w:rPr>
          <w:rFonts w:hint="eastAsia"/>
          <w:lang w:eastAsia="zh-CN"/>
        </w:rPr>
      </w:pPr>
    </w:p>
    <w:p w14:paraId="5DE3A99A">
      <w:pPr>
        <w:keepNext w:val="0"/>
        <w:keepLines w:val="0"/>
        <w:pageBreakBefore w:val="0"/>
        <w:kinsoku/>
        <w:wordWrap/>
        <w:overflowPunct/>
        <w:topLinePunct w:val="0"/>
        <w:bidi w:val="0"/>
        <w:adjustRightInd w:val="0"/>
        <w:spacing w:line="600" w:lineRule="exact"/>
        <w:ind w:left="0" w:leftChars="0" w:right="0" w:rightChars="0"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第一条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为规范本区农民集体所有的土地（以下简称集体土地）征收的补偿安置工作，保障被征收土地的所有权人、使用权人的合法权益。根据《重庆市集体土地征收补偿安置办法》（重庆市人民政府令第344号）《重庆市人民政府关于公布征地补偿安置标准有关事项的通知》（渝府发〔2021〕14号）和有关法律法规规定，结合本区实际，制定本实施办法。</w:t>
      </w:r>
    </w:p>
    <w:p w14:paraId="385EBB3D">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第二条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本</w:t>
      </w:r>
      <w:r>
        <w:rPr>
          <w:rFonts w:hint="default" w:ascii="Times New Roman" w:hAnsi="Times New Roman" w:eastAsia="方正仿宋_GBK" w:cs="Times New Roman"/>
          <w:color w:val="000000"/>
          <w:sz w:val="32"/>
          <w:szCs w:val="32"/>
        </w:rPr>
        <w:t>区</w:t>
      </w:r>
      <w:r>
        <w:rPr>
          <w:rFonts w:hint="default" w:ascii="Times New Roman" w:hAnsi="Times New Roman" w:eastAsia="方正仿宋_GBK" w:cs="Times New Roman"/>
          <w:sz w:val="32"/>
          <w:szCs w:val="32"/>
        </w:rPr>
        <w:t>行政区域内集体土地征收的补偿、人员安置和住房安置，适</w:t>
      </w:r>
      <w:r>
        <w:rPr>
          <w:rFonts w:hint="default" w:ascii="Times New Roman" w:hAnsi="Times New Roman" w:eastAsia="方正仿宋_GBK" w:cs="Times New Roman"/>
          <w:color w:val="000000"/>
          <w:sz w:val="32"/>
          <w:szCs w:val="32"/>
        </w:rPr>
        <w:t>用本实施办法</w:t>
      </w:r>
      <w:r>
        <w:rPr>
          <w:rFonts w:hint="default" w:ascii="Times New Roman" w:hAnsi="Times New Roman" w:eastAsia="方正仿宋_GBK" w:cs="Times New Roman"/>
          <w:sz w:val="32"/>
          <w:szCs w:val="32"/>
        </w:rPr>
        <w:t>。</w:t>
      </w:r>
    </w:p>
    <w:p w14:paraId="27E2504C">
      <w:pPr>
        <w:keepNext w:val="0"/>
        <w:keepLines w:val="0"/>
        <w:pageBreakBefore w:val="0"/>
        <w:kinsoku/>
        <w:wordWrap/>
        <w:overflowPunct/>
        <w:topLinePunct w:val="0"/>
        <w:bidi w:val="0"/>
        <w:spacing w:line="600" w:lineRule="exact"/>
        <w:ind w:left="0" w:leftChars="0" w:right="0" w:rightChars="0" w:firstLine="627" w:firstLineChars="196"/>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第三条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区人民政府</w:t>
      </w:r>
      <w:r>
        <w:rPr>
          <w:rFonts w:hint="default" w:ascii="Times New Roman" w:hAnsi="Times New Roman" w:eastAsia="方正仿宋_GBK" w:cs="Times New Roman"/>
          <w:sz w:val="32"/>
          <w:szCs w:val="32"/>
        </w:rPr>
        <w:t>负责本行政区域内集体土地征收补偿安置的组织实施工作。</w:t>
      </w:r>
      <w:r>
        <w:rPr>
          <w:rFonts w:hint="default" w:ascii="Times New Roman" w:hAnsi="Times New Roman" w:eastAsia="方正仿宋_GBK" w:cs="Times New Roman"/>
          <w:color w:val="000000"/>
          <w:sz w:val="32"/>
          <w:szCs w:val="32"/>
        </w:rPr>
        <w:t>区征地实施机构承担本行政区域内集体土地征收补偿安置具体实施的事务性工作。</w:t>
      </w:r>
    </w:p>
    <w:p w14:paraId="05C03FC8">
      <w:pPr>
        <w:keepNext w:val="0"/>
        <w:keepLines w:val="0"/>
        <w:pageBreakBefore w:val="0"/>
        <w:kinsoku/>
        <w:wordWrap/>
        <w:overflowPunct/>
        <w:topLinePunct w:val="0"/>
        <w:bidi w:val="0"/>
        <w:spacing w:line="600" w:lineRule="exact"/>
        <w:ind w:left="0" w:leftChars="0" w:right="0" w:rightChars="0" w:firstLine="627" w:firstLineChars="196"/>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区规划自然资源部门负责对集体土地征收补偿安置具体实施的事务性工作进行管理和监督。</w:t>
      </w:r>
    </w:p>
    <w:p w14:paraId="57F1AA7F">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区人力社保部门负责人员安置对象的基本养老保险办理和促进就业工作。</w:t>
      </w:r>
    </w:p>
    <w:p w14:paraId="333D7DA5">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区公安部门负责征地秩序维护以及被征地农村集体经济组织所在地居民户口信息提供和审核工作。</w:t>
      </w:r>
    </w:p>
    <w:p w14:paraId="7BF3D402">
      <w:pPr>
        <w:keepNext w:val="0"/>
        <w:keepLines w:val="0"/>
        <w:pageBreakBefore w:val="0"/>
        <w:kinsoku/>
        <w:wordWrap/>
        <w:overflowPunct/>
        <w:topLinePunct w:val="0"/>
        <w:bidi w:val="0"/>
        <w:adjustRightIn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区农业农村部门负责土地承包经营纠纷仲裁日常工作；负责征地涉及的农村土地承包经营及承包经营合同管理，农村集体资产管理的指导、协调和监督及农村宅基地管理工作。</w:t>
      </w:r>
    </w:p>
    <w:p w14:paraId="4D18D1BD">
      <w:pPr>
        <w:pStyle w:val="13"/>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区林业部门负责征收林地上林木及附着物补偿标准制定，土地报批所需林地相关手续办理及被征收土地林木砍伐许可工作。</w:t>
      </w:r>
    </w:p>
    <w:p w14:paraId="65D3936D">
      <w:pPr>
        <w:pStyle w:val="13"/>
        <w:keepNext w:val="0"/>
        <w:keepLines w:val="0"/>
        <w:pageBreakBefore w:val="0"/>
        <w:kinsoku/>
        <w:wordWrap/>
        <w:overflowPunct/>
        <w:topLinePunct w:val="0"/>
        <w:bidi w:val="0"/>
        <w:spacing w:line="600" w:lineRule="exact"/>
        <w:ind w:left="0" w:leftChars="0" w:right="0" w:rightChars="0"/>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 xml:space="preserve">    区住房城乡建设部门负责牵头核定并公布安置房建安造价工作。</w:t>
      </w:r>
    </w:p>
    <w:p w14:paraId="732BA634">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区财政、审计、民政、信访等部门，按照各自职责做好集体土地征收补偿安置的相关工作。</w:t>
      </w:r>
    </w:p>
    <w:p w14:paraId="765D5CEB">
      <w:pPr>
        <w:pStyle w:val="13"/>
        <w:keepNext w:val="0"/>
        <w:keepLines w:val="0"/>
        <w:pageBreakBefore w:val="0"/>
        <w:kinsoku/>
        <w:wordWrap/>
        <w:overflowPunct/>
        <w:topLinePunct w:val="0"/>
        <w:bidi w:val="0"/>
        <w:spacing w:line="600" w:lineRule="exact"/>
        <w:ind w:left="0" w:leftChars="0" w:right="0" w:rightChars="0"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乡镇人民政府（街道办事处）负责本辖区征地涉及的农村土地承包经营及承包经营合同管理，农村宅基地审核批准；并按照区人民政府的要求，做好辖区内集体土地征收补偿安置的相关工作。</w:t>
      </w:r>
    </w:p>
    <w:p w14:paraId="5EFFB4E6">
      <w:pPr>
        <w:keepNext w:val="0"/>
        <w:keepLines w:val="0"/>
        <w:pageBreakBefore w:val="0"/>
        <w:tabs>
          <w:tab w:val="left" w:pos="681"/>
        </w:tabs>
        <w:kinsoku/>
        <w:wordWrap/>
        <w:overflowPunct/>
        <w:topLinePunct w:val="0"/>
        <w:bidi w:val="0"/>
        <w:spacing w:line="600" w:lineRule="exact"/>
        <w:ind w:left="0" w:leftChars="0" w:right="0" w:rightChars="0"/>
        <w:jc w:val="center"/>
        <w:textAlignment w:val="auto"/>
        <w:rPr>
          <w:rFonts w:hint="default" w:ascii="Times New Roman" w:hAnsi="Times New Roman" w:eastAsia="方正黑体_GBK" w:cs="Times New Roman"/>
          <w:sz w:val="32"/>
          <w:szCs w:val="32"/>
        </w:rPr>
      </w:pPr>
    </w:p>
    <w:p w14:paraId="5570460F">
      <w:pPr>
        <w:keepNext w:val="0"/>
        <w:keepLines w:val="0"/>
        <w:pageBreakBefore w:val="0"/>
        <w:numPr>
          <w:ilvl w:val="0"/>
          <w:numId w:val="1"/>
        </w:numPr>
        <w:tabs>
          <w:tab w:val="left" w:pos="681"/>
        </w:tabs>
        <w:kinsoku/>
        <w:wordWrap/>
        <w:overflowPunct/>
        <w:topLinePunct w:val="0"/>
        <w:bidi w:val="0"/>
        <w:spacing w:line="600" w:lineRule="exact"/>
        <w:ind w:left="0" w:leftChars="0" w:right="0" w:righ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征地补偿</w:t>
      </w:r>
    </w:p>
    <w:p w14:paraId="2BCBECD5">
      <w:pPr>
        <w:keepNext w:val="0"/>
        <w:keepLines w:val="0"/>
        <w:pageBreakBefore w:val="0"/>
        <w:tabs>
          <w:tab w:val="left" w:pos="681"/>
        </w:tabs>
        <w:kinsoku/>
        <w:wordWrap/>
        <w:overflowPunct/>
        <w:topLinePunct w:val="0"/>
        <w:bidi w:val="0"/>
        <w:spacing w:line="600" w:lineRule="exact"/>
        <w:ind w:right="0" w:rightChars="0"/>
        <w:textAlignment w:val="auto"/>
        <w:rPr>
          <w:rFonts w:hint="default" w:ascii="Times New Roman" w:hAnsi="Times New Roman" w:eastAsia="方正楷体_GBK" w:cs="Times New Roman"/>
          <w:sz w:val="32"/>
          <w:szCs w:val="32"/>
        </w:rPr>
      </w:pPr>
    </w:p>
    <w:p w14:paraId="686FF92B">
      <w:pPr>
        <w:keepNext w:val="0"/>
        <w:keepLines w:val="0"/>
        <w:pageBreakBefore w:val="0"/>
        <w:tabs>
          <w:tab w:val="left" w:pos="681"/>
        </w:tabs>
        <w:kinsoku/>
        <w:wordWrap/>
        <w:overflowPunct/>
        <w:topLinePunct w:val="0"/>
        <w:bidi w:val="0"/>
        <w:spacing w:line="600" w:lineRule="exact"/>
        <w:ind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第</w:t>
      </w:r>
      <w:r>
        <w:rPr>
          <w:rFonts w:hint="default" w:ascii="Times New Roman" w:hAnsi="Times New Roman" w:eastAsia="方正楷体_GBK" w:cs="Times New Roman"/>
          <w:color w:val="000000"/>
          <w:sz w:val="32"/>
          <w:szCs w:val="32"/>
        </w:rPr>
        <w:t>四</w:t>
      </w:r>
      <w:r>
        <w:rPr>
          <w:rFonts w:hint="default" w:ascii="Times New Roman" w:hAnsi="Times New Roman" w:eastAsia="方正楷体_GBK" w:cs="Times New Roman"/>
          <w:sz w:val="32"/>
          <w:szCs w:val="32"/>
        </w:rPr>
        <w:t>条</w:t>
      </w:r>
      <w:r>
        <w:rPr>
          <w:rFonts w:hint="default" w:ascii="Times New Roman" w:hAnsi="Times New Roman" w:eastAsia="方正仿宋_GBK" w:cs="Times New Roman"/>
          <w:sz w:val="32"/>
          <w:szCs w:val="32"/>
        </w:rPr>
        <w:t xml:space="preserve">  征收集体土地应当依法及时足额支付土地补偿费、安置补助费以及农村房屋、其他地上附着物和青苗等补偿费用。</w:t>
      </w:r>
    </w:p>
    <w:p w14:paraId="10191C09">
      <w:pPr>
        <w:keepNext w:val="0"/>
        <w:keepLines w:val="0"/>
        <w:pageBreakBefore w:val="0"/>
        <w:kinsoku/>
        <w:wordWrap/>
        <w:overflowPunct/>
        <w:topLinePunct w:val="0"/>
        <w:bidi w:val="0"/>
        <w:snapToGrid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第</w:t>
      </w:r>
      <w:r>
        <w:rPr>
          <w:rFonts w:hint="default" w:ascii="Times New Roman" w:hAnsi="Times New Roman" w:eastAsia="方正楷体_GBK" w:cs="Times New Roman"/>
          <w:color w:val="000000"/>
          <w:sz w:val="32"/>
          <w:szCs w:val="32"/>
        </w:rPr>
        <w:t>五</w:t>
      </w:r>
      <w:r>
        <w:rPr>
          <w:rFonts w:hint="default" w:ascii="Times New Roman" w:hAnsi="Times New Roman" w:eastAsia="方正楷体_GBK" w:cs="Times New Roman"/>
          <w:sz w:val="32"/>
          <w:szCs w:val="32"/>
        </w:rPr>
        <w:t>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征收农用地、建设用地和未利用地的土地补偿费和安置补助费，不分地类，按照市人民政府制定公布的</w:t>
      </w:r>
      <w:r>
        <w:rPr>
          <w:rFonts w:hint="default" w:ascii="Times New Roman" w:hAnsi="Times New Roman" w:eastAsia="方正仿宋_GBK" w:cs="Times New Roman"/>
          <w:color w:val="000000"/>
          <w:sz w:val="32"/>
          <w:szCs w:val="32"/>
        </w:rPr>
        <w:t>对应区域</w:t>
      </w:r>
      <w:r>
        <w:rPr>
          <w:rFonts w:hint="default" w:ascii="Times New Roman" w:hAnsi="Times New Roman" w:eastAsia="方正仿宋_GBK" w:cs="Times New Roman"/>
          <w:sz w:val="32"/>
          <w:szCs w:val="32"/>
        </w:rPr>
        <w:t>区片综合地价标准乘以被征收土地面积计算。区片综合地价中，土地补偿费占30%，安置补助费占70%。</w:t>
      </w:r>
    </w:p>
    <w:p w14:paraId="656BFE56">
      <w:pPr>
        <w:keepNext w:val="0"/>
        <w:keepLines w:val="0"/>
        <w:pageBreakBefore w:val="0"/>
        <w:kinsoku/>
        <w:wordWrap/>
        <w:overflowPunct/>
        <w:topLinePunct w:val="0"/>
        <w:bidi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本区行政区域范围内，区片综合地价标准按照附件1执行。</w:t>
      </w:r>
    </w:p>
    <w:p w14:paraId="2975D5D0">
      <w:pPr>
        <w:keepNext w:val="0"/>
        <w:keepLines w:val="0"/>
        <w:pageBreakBefore w:val="0"/>
        <w:kinsoku/>
        <w:wordWrap/>
        <w:overflowPunct/>
        <w:topLinePunct w:val="0"/>
        <w:bidi w:val="0"/>
        <w:spacing w:line="600" w:lineRule="exact"/>
        <w:ind w:left="0" w:leftChars="0" w:right="0" w:rightChars="0" w:firstLine="63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第六条</w:t>
      </w:r>
      <w:r>
        <w:rPr>
          <w:rFonts w:hint="default" w:ascii="Times New Roman" w:hAnsi="Times New Roman" w:eastAsia="方正楷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被征收土地的土地补偿费，按照市人民政府制定公布的土地补偿费标准乘以农村集体经济组织被征收土地面积计算。</w:t>
      </w:r>
    </w:p>
    <w:p w14:paraId="4A4181BA">
      <w:pPr>
        <w:keepNext w:val="0"/>
        <w:keepLines w:val="0"/>
        <w:pageBreakBefore w:val="0"/>
        <w:tabs>
          <w:tab w:val="left" w:pos="681"/>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土地补偿费由区征地实施机构支付给被征地农村集体经济组织。其中，被征收土地为家庭承包土地的，土地补偿费的80％由农村集</w:t>
      </w:r>
      <w:r>
        <w:rPr>
          <w:rFonts w:hint="default" w:ascii="Times New Roman" w:hAnsi="Times New Roman" w:eastAsia="方正仿宋_GBK" w:cs="Times New Roman"/>
          <w:sz w:val="32"/>
          <w:szCs w:val="32"/>
        </w:rPr>
        <w:t>体经济组织按照被征收土地面积发给承包经营户，土地补偿费的20％由农村集体经济组织依法管理和使用</w:t>
      </w:r>
      <w:r>
        <w:rPr>
          <w:rFonts w:hint="default" w:ascii="Times New Roman" w:hAnsi="Times New Roman" w:eastAsia="方正仿宋_GBK" w:cs="Times New Roman"/>
          <w:color w:val="000000"/>
          <w:sz w:val="32"/>
          <w:szCs w:val="32"/>
        </w:rPr>
        <w:t>；被征收土地为未发包土地或者其他方式承包土地的，土地补偿费由农村集体经济组织依法管理和使用。</w:t>
      </w:r>
    </w:p>
    <w:p w14:paraId="3FA18295">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第七条</w:t>
      </w:r>
      <w:r>
        <w:rPr>
          <w:rFonts w:hint="default" w:ascii="Times New Roman" w:hAnsi="Times New Roman" w:eastAsia="方正仿宋_GBK" w:cs="Times New Roman"/>
          <w:color w:val="000000"/>
          <w:sz w:val="32"/>
          <w:szCs w:val="32"/>
        </w:rPr>
        <w:t xml:space="preserve">  被征收土地的安置补助费，按照市人民政府制定公布的安置补助费标准乘以农村集体经济组织被征收土地面积计算。</w:t>
      </w:r>
    </w:p>
    <w:p w14:paraId="016CCC75">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安置补助费由区征地实施机构按照3.6万元/人的发放标准支付给人员安置对象。前款计算的安置补助费支付后有结余的，结余部分交由农村集体经济组织依法管理和使用；</w:t>
      </w:r>
      <w:r>
        <w:rPr>
          <w:rFonts w:hint="default" w:ascii="Times New Roman" w:hAnsi="Times New Roman" w:eastAsia="方正仿宋_GBK" w:cs="Times New Roman"/>
          <w:color w:val="000000"/>
          <w:kern w:val="0"/>
          <w:sz w:val="32"/>
          <w:szCs w:val="32"/>
        </w:rPr>
        <w:t>不足的</w:t>
      </w:r>
      <w:r>
        <w:rPr>
          <w:rFonts w:hint="default" w:ascii="Times New Roman" w:hAnsi="Times New Roman" w:eastAsia="方正仿宋_GBK" w:cs="Times New Roman"/>
          <w:color w:val="000000"/>
          <w:sz w:val="32"/>
          <w:szCs w:val="32"/>
        </w:rPr>
        <w:t>，由区人民政府安排资金予以补足。</w:t>
      </w:r>
    </w:p>
    <w:p w14:paraId="05581B86">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第八条</w:t>
      </w:r>
      <w:r>
        <w:rPr>
          <w:rFonts w:hint="default" w:ascii="Times New Roman" w:hAnsi="Times New Roman" w:eastAsia="方正仿宋_GBK" w:cs="Times New Roman"/>
          <w:color w:val="000000"/>
          <w:sz w:val="32"/>
          <w:szCs w:val="32"/>
        </w:rPr>
        <w:t xml:space="preserve">  本实施办法所称农村房屋是指在集体土地上建设的房屋，包括农村村民住宅和乡镇企业、乡（镇）村公共设施、公益事业用房等。</w:t>
      </w:r>
    </w:p>
    <w:p w14:paraId="1E3EA860">
      <w:pPr>
        <w:keepNext w:val="0"/>
        <w:keepLines w:val="0"/>
        <w:pageBreakBefore w:val="0"/>
        <w:tabs>
          <w:tab w:val="left" w:pos="681"/>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农村房屋以不动产权属证书记载的合法建筑面积为准，按照重置价格补偿，补偿标准按照附件2执行。</w:t>
      </w:r>
    </w:p>
    <w:p w14:paraId="123EA04E">
      <w:pPr>
        <w:keepNext w:val="0"/>
        <w:keepLines w:val="0"/>
        <w:pageBreakBefore w:val="0"/>
        <w:tabs>
          <w:tab w:val="left" w:pos="681"/>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对未取得不动产权属证书的房屋，由区人民政府组织区规划自然资源局、区农业农村委等部门和乡镇人民政府（街道办事处）依法予以认定。</w:t>
      </w:r>
    </w:p>
    <w:p w14:paraId="24FAA721">
      <w:pPr>
        <w:pStyle w:val="5"/>
        <w:keepNext w:val="0"/>
        <w:keepLines w:val="0"/>
        <w:pageBreakBefore w:val="0"/>
        <w:kinsoku/>
        <w:wordWrap/>
        <w:overflowPunct/>
        <w:topLinePunct w:val="0"/>
        <w:bidi w:val="0"/>
        <w:spacing w:line="600" w:lineRule="exact"/>
        <w:ind w:left="0" w:leftChars="0" w:right="0" w:rightChars="0"/>
        <w:jc w:val="both"/>
        <w:textAlignment w:val="auto"/>
        <w:rPr>
          <w:rFonts w:hint="default" w:ascii="Times New Roman" w:hAnsi="Times New Roman" w:eastAsia="方正仿宋_GBK" w:cs="Times New Roman"/>
          <w:b/>
          <w:bCs/>
          <w:strike/>
          <w:color w:val="000000"/>
          <w:sz w:val="32"/>
          <w:szCs w:val="32"/>
          <w:lang w:eastAsia="zh-CN"/>
        </w:rPr>
      </w:pPr>
      <w:r>
        <w:rPr>
          <w:rFonts w:hint="default" w:ascii="Times New Roman" w:hAnsi="Times New Roman" w:eastAsia="方正楷体_GBK" w:cs="Times New Roman"/>
          <w:sz w:val="32"/>
          <w:szCs w:val="32"/>
          <w:lang w:eastAsia="zh-CN"/>
        </w:rPr>
        <w:t>第九条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lang w:eastAsia="zh-CN"/>
        </w:rPr>
        <w:t>被搬迁房屋的室内、外装饰装修按照附件3规定的标准予以补助。</w:t>
      </w:r>
    </w:p>
    <w:p w14:paraId="212F9B06">
      <w:pPr>
        <w:pStyle w:val="5"/>
        <w:keepNext w:val="0"/>
        <w:keepLines w:val="0"/>
        <w:pageBreakBefore w:val="0"/>
        <w:kinsoku/>
        <w:wordWrap/>
        <w:overflowPunct/>
        <w:topLinePunct w:val="0"/>
        <w:bidi w:val="0"/>
        <w:spacing w:line="600" w:lineRule="exact"/>
        <w:ind w:left="0" w:leftChars="0" w:right="0" w:rightChars="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楷体_GBK" w:cs="Times New Roman"/>
          <w:sz w:val="32"/>
          <w:szCs w:val="32"/>
          <w:lang w:eastAsia="zh-CN"/>
        </w:rPr>
        <w:t>第十条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lang w:eastAsia="zh-CN"/>
        </w:rPr>
        <w:t>本实施办法所称其他地上附着物，是指除房屋外的建筑物、构筑物以及林木和其他经济作物等；青苗，是指土地上生长的农作物。</w:t>
      </w:r>
    </w:p>
    <w:p w14:paraId="5F5AB6A3">
      <w:pPr>
        <w:pStyle w:val="13"/>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青苗、林木和其他经济作物实行综合定额补偿，以被征收土地面积扣除林地后的面积为准，综合定额补偿标准为9000元/亩。综合定额补偿由区征地实施机构支付给所有权人。</w:t>
      </w:r>
    </w:p>
    <w:p w14:paraId="096975E5">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除房屋外的建筑物、构筑物（不含坟墓）实行据实清点补偿，补偿标准按照附件4执行。</w:t>
      </w:r>
    </w:p>
    <w:p w14:paraId="108D1BE9">
      <w:pPr>
        <w:keepNext w:val="0"/>
        <w:keepLines w:val="0"/>
        <w:pageBreakBefore w:val="0"/>
        <w:kinsoku/>
        <w:wordWrap/>
        <w:overflowPunct/>
        <w:topLinePunct w:val="0"/>
        <w:autoSpaceDE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征收林地的林木及附着物（不含坟墓）的补偿标准，按照国家和重庆市征收林地的有关规定执行，</w:t>
      </w:r>
      <w:r>
        <w:rPr>
          <w:rFonts w:hint="default" w:ascii="Times New Roman" w:hAnsi="Times New Roman" w:eastAsia="方正仿宋_GBK" w:cs="Times New Roman"/>
          <w:sz w:val="32"/>
          <w:szCs w:val="32"/>
        </w:rPr>
        <w:t>补偿标准低于综合定额标准的，按照综合定额标</w:t>
      </w:r>
      <w:r>
        <w:rPr>
          <w:rFonts w:hint="default" w:ascii="Times New Roman" w:hAnsi="Times New Roman" w:eastAsia="方正仿宋_GBK" w:cs="Times New Roman"/>
          <w:color w:val="000000"/>
          <w:sz w:val="32"/>
          <w:szCs w:val="32"/>
        </w:rPr>
        <w:t>准进行补偿；国家和重庆市征收林地的林木及附着物（不含坟墓）的补偿标准未具体明确前，按照综合定额标准进行补偿。</w:t>
      </w:r>
    </w:p>
    <w:p w14:paraId="758266A2">
      <w:pPr>
        <w:keepNext w:val="0"/>
        <w:keepLines w:val="0"/>
        <w:pageBreakBefore w:val="0"/>
        <w:widowControl/>
        <w:kinsoku/>
        <w:wordWrap/>
        <w:overflowPunct/>
        <w:topLinePunct w:val="0"/>
        <w:bidi w:val="0"/>
        <w:spacing w:line="600" w:lineRule="exact"/>
        <w:ind w:left="0" w:leftChars="0" w:right="0" w:rightChars="0" w:firstLine="63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征收土地范围内的坟墓搬迁，按照无碑坟3600元/座，有碑坟4800元/座，五厢碑及以上9980元/座的标准予以补助，由坟主的近亲属按照迁坟公告规定时间自行搬迁。逾期未搬迁的，按无主坟处理。</w:t>
      </w:r>
    </w:p>
    <w:p w14:paraId="0BE5007F">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楷体_GBK" w:cs="Times New Roman"/>
          <w:sz w:val="32"/>
          <w:szCs w:val="32"/>
        </w:rPr>
        <w:t>第十一条</w:t>
      </w:r>
      <w:r>
        <w:rPr>
          <w:rFonts w:hint="default" w:ascii="Times New Roman" w:hAnsi="Times New Roman" w:eastAsia="方正仿宋_GBK" w:cs="Times New Roman"/>
          <w:sz w:val="32"/>
          <w:szCs w:val="32"/>
        </w:rPr>
        <w:t xml:space="preserve">  有下列情形之一的，不予补偿</w:t>
      </w:r>
      <w:r>
        <w:rPr>
          <w:rFonts w:hint="default" w:ascii="Times New Roman" w:hAnsi="Times New Roman" w:eastAsia="方正仿宋_GBK" w:cs="Times New Roman"/>
          <w:b/>
          <w:bCs/>
          <w:sz w:val="32"/>
          <w:szCs w:val="32"/>
        </w:rPr>
        <w:t>：</w:t>
      </w:r>
    </w:p>
    <w:p w14:paraId="5D5F2BD9">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（一）违法建（构）筑物；</w:t>
      </w:r>
    </w:p>
    <w:p w14:paraId="642B5FE9">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（二）已拆除的房屋、房屋已垮塌的部分；</w:t>
      </w:r>
    </w:p>
    <w:p w14:paraId="17BD170D">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（三）发布征收土地预公告后栽种的青苗及花草、树木等附着物；</w:t>
      </w:r>
    </w:p>
    <w:p w14:paraId="2C69C543">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（四）超过批准期限的临时地上的建（构）筑物；</w:t>
      </w:r>
    </w:p>
    <w:p w14:paraId="4C1281E2">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b/>
          <w:bCs/>
          <w:color w:val="000000"/>
          <w:sz w:val="32"/>
          <w:szCs w:val="32"/>
        </w:rPr>
      </w:pPr>
      <w:r>
        <w:rPr>
          <w:rFonts w:hint="default" w:ascii="Times New Roman" w:hAnsi="Times New Roman" w:eastAsia="方正仿宋_GBK" w:cs="Times New Roman"/>
          <w:color w:val="000000"/>
          <w:sz w:val="32"/>
          <w:szCs w:val="32"/>
        </w:rPr>
        <w:t>（五）其他不当增加补偿费用的情形。</w:t>
      </w:r>
    </w:p>
    <w:p w14:paraId="68A12490">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第十二条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征收土地预公告发布之日，持有合法证照且从事生产经营活动的，综合考虑生产经营年限、规模、类别、搬迁损失、搬迁难易度等因素，对生产经营者一次性给予搬迁补助费（含搬迁费和停产停业损失）。其搬迁补助费标准为</w:t>
      </w:r>
      <w:r>
        <w:rPr>
          <w:rFonts w:hint="default" w:ascii="Times New Roman" w:hAnsi="Times New Roman" w:eastAsia="方正仿宋_GBK" w:cs="Times New Roman"/>
          <w:b/>
          <w:bCs/>
          <w:color w:val="000000"/>
          <w:sz w:val="32"/>
          <w:szCs w:val="32"/>
        </w:rPr>
        <w:t>：</w:t>
      </w:r>
    </w:p>
    <w:p w14:paraId="3759DF89">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（一）农业类</w:t>
      </w:r>
    </w:p>
    <w:p w14:paraId="6A48F738">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 规模化经济作物种植：根据规模化种植经济作物大小和稀密度，按征收土地预公告发布时实际种植面积</w:t>
      </w:r>
      <w:r>
        <w:rPr>
          <w:rFonts w:hint="default" w:ascii="Times New Roman" w:hAnsi="Times New Roman" w:eastAsia="方正仿宋_GBK" w:cs="Times New Roman"/>
          <w:bCs/>
          <w:color w:val="000000"/>
          <w:sz w:val="32"/>
          <w:szCs w:val="32"/>
        </w:rPr>
        <w:t>4000—8000</w:t>
      </w:r>
      <w:r>
        <w:rPr>
          <w:rFonts w:hint="default" w:ascii="Times New Roman" w:hAnsi="Times New Roman" w:eastAsia="方正仿宋_GBK" w:cs="Times New Roman"/>
          <w:color w:val="000000"/>
          <w:sz w:val="32"/>
          <w:szCs w:val="32"/>
        </w:rPr>
        <w:t>元/亩标准，对生产经营者一次性给予搬迁补助费。</w:t>
      </w:r>
    </w:p>
    <w:p w14:paraId="0AA0A626">
      <w:pPr>
        <w:pStyle w:val="13"/>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食用菌场的活菌包按每个２元标准对生产</w:t>
      </w:r>
      <w:r>
        <w:rPr>
          <w:rFonts w:hint="eastAsia" w:ascii="Times New Roman" w:hAnsi="Times New Roman" w:eastAsia="方正仿宋_GBK" w:cs="Times New Roman"/>
          <w:kern w:val="2"/>
          <w:sz w:val="32"/>
          <w:szCs w:val="32"/>
          <w:lang w:eastAsia="zh-CN"/>
        </w:rPr>
        <w:t>经</w:t>
      </w:r>
      <w:r>
        <w:rPr>
          <w:rFonts w:hint="default" w:ascii="Times New Roman" w:hAnsi="Times New Roman" w:eastAsia="方正仿宋_GBK" w:cs="Times New Roman"/>
          <w:kern w:val="2"/>
          <w:sz w:val="32"/>
          <w:szCs w:val="32"/>
        </w:rPr>
        <w:t>营者一次性给予搬迁补助费，死菌包不予补助。</w:t>
      </w:r>
    </w:p>
    <w:p w14:paraId="37C7717F">
      <w:pPr>
        <w:keepNext w:val="0"/>
        <w:keepLines w:val="0"/>
        <w:pageBreakBefore w:val="0"/>
        <w:tabs>
          <w:tab w:val="left" w:pos="870"/>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 规模化畜禽养殖：根据规模化畜禽养殖在土地预公告发布时实有的畜禽数量计算，对生产经营者一次性给予搬迁补助费。具体补助标准为：</w:t>
      </w:r>
    </w:p>
    <w:p w14:paraId="7C926B26">
      <w:pPr>
        <w:keepNext w:val="0"/>
        <w:keepLines w:val="0"/>
        <w:pageBreakBefore w:val="0"/>
        <w:tabs>
          <w:tab w:val="left" w:pos="870"/>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祖代种猪每头补助500元，有孕母猪和哺乳期母猪每头补助750元；其他能繁母猪、种公猪每头补助200元，有孕母猪和哺乳期母猪每头补助300元；祖代种猪、能繁母猪和种公猪由畜牧部门出具有效证明材料。其他生猪20公斤以上的每头补助80元，20公斤以下的每头补助40元。</w:t>
      </w:r>
    </w:p>
    <w:p w14:paraId="66C4FA71">
      <w:pPr>
        <w:keepNext w:val="0"/>
        <w:keepLines w:val="0"/>
        <w:pageBreakBefore w:val="0"/>
        <w:tabs>
          <w:tab w:val="left" w:pos="870"/>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奶牛每头补助500元，肉牛及其他每头补助200元；羊每头补助50元。</w:t>
      </w:r>
    </w:p>
    <w:p w14:paraId="044EB223">
      <w:pPr>
        <w:keepNext w:val="0"/>
        <w:keepLines w:val="0"/>
        <w:pageBreakBefore w:val="0"/>
        <w:tabs>
          <w:tab w:val="left" w:pos="870"/>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禽（兔）类：每只补助5元。</w:t>
      </w:r>
    </w:p>
    <w:p w14:paraId="6035507A">
      <w:pPr>
        <w:keepNext w:val="0"/>
        <w:keepLines w:val="0"/>
        <w:pageBreakBefore w:val="0"/>
        <w:tabs>
          <w:tab w:val="left" w:pos="870"/>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蜂箱：有蜂每箱补助110元、</w:t>
      </w:r>
      <w:r>
        <w:rPr>
          <w:rFonts w:hint="default" w:ascii="Times New Roman" w:hAnsi="Times New Roman" w:eastAsia="方正仿宋_GBK" w:cs="Times New Roman"/>
          <w:color w:val="000000"/>
          <w:sz w:val="32"/>
          <w:szCs w:val="32"/>
        </w:rPr>
        <w:t>无蜂不予补助。</w:t>
      </w:r>
    </w:p>
    <w:p w14:paraId="07713DD1">
      <w:pPr>
        <w:keepNext w:val="0"/>
        <w:keepLines w:val="0"/>
        <w:pageBreakBefore w:val="0"/>
        <w:tabs>
          <w:tab w:val="left" w:pos="870"/>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其他畜禽类参照以上标准执行。</w:t>
      </w:r>
    </w:p>
    <w:p w14:paraId="4E13ECC5">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 规模化水产养殖：对生产经营者一次性给予搬迁补助费，按照养殖水面面积计算，搬迁补助费标准为6000元/亩。</w:t>
      </w:r>
    </w:p>
    <w:p w14:paraId="568A77C7">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（二）工业类。一次性搬迁补助费按所搬迁设施设备评估净值的20%计算，搬迁后丧失使用价值的，按照设施设备评估净值计算补偿。</w:t>
      </w:r>
    </w:p>
    <w:p w14:paraId="4FAB3ECB">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（三）商业服务类。一次性搬迁补助费标准按照实际用于商业服务经营的房屋建筑面积计算，搬迁补助费标准按200元/平方米执行。</w:t>
      </w:r>
    </w:p>
    <w:p w14:paraId="1BBEC406">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为生产经营安装的水、电、气、管网等设施按安装费用补偿，无法提供实际安装发票的，按搬迁时相应行业主管部门的安装价格补偿。</w:t>
      </w:r>
    </w:p>
    <w:p w14:paraId="4AD6CB96">
      <w:pPr>
        <w:pStyle w:val="14"/>
        <w:keepNext w:val="0"/>
        <w:keepLines w:val="0"/>
        <w:pageBreakBefore w:val="0"/>
        <w:kinsoku/>
        <w:wordWrap/>
        <w:overflowPunct/>
        <w:topLinePunct w:val="0"/>
        <w:bidi w:val="0"/>
        <w:spacing w:line="600" w:lineRule="exact"/>
        <w:ind w:left="0" w:leftChars="0" w:right="0" w:rightChars="0"/>
        <w:jc w:val="center"/>
        <w:textAlignment w:val="auto"/>
        <w:rPr>
          <w:rFonts w:hint="default" w:ascii="Times New Roman" w:hAnsi="Times New Roman" w:eastAsia="方正黑体_GBK" w:cs="Times New Roman"/>
          <w:sz w:val="32"/>
          <w:szCs w:val="32"/>
        </w:rPr>
      </w:pPr>
    </w:p>
    <w:p w14:paraId="0734E044">
      <w:pPr>
        <w:pStyle w:val="14"/>
        <w:keepNext w:val="0"/>
        <w:keepLines w:val="0"/>
        <w:pageBreakBefore w:val="0"/>
        <w:numPr>
          <w:ilvl w:val="0"/>
          <w:numId w:val="1"/>
        </w:numPr>
        <w:kinsoku/>
        <w:wordWrap/>
        <w:overflowPunct/>
        <w:topLinePunct w:val="0"/>
        <w:bidi w:val="0"/>
        <w:spacing w:line="600" w:lineRule="exact"/>
        <w:ind w:left="0" w:leftChars="0" w:right="0" w:righ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人员安置</w:t>
      </w:r>
    </w:p>
    <w:p w14:paraId="24360485">
      <w:pPr>
        <w:pStyle w:val="14"/>
        <w:keepNext w:val="0"/>
        <w:keepLines w:val="0"/>
        <w:pageBreakBefore w:val="0"/>
        <w:numPr>
          <w:ilvl w:val="0"/>
          <w:numId w:val="0"/>
        </w:numPr>
        <w:kinsoku/>
        <w:wordWrap/>
        <w:overflowPunct/>
        <w:topLinePunct w:val="0"/>
        <w:bidi w:val="0"/>
        <w:spacing w:line="600" w:lineRule="exact"/>
        <w:ind w:leftChars="0" w:right="0" w:rightChars="0"/>
        <w:jc w:val="both"/>
        <w:textAlignment w:val="auto"/>
        <w:rPr>
          <w:rFonts w:hint="default" w:ascii="Times New Roman" w:hAnsi="Times New Roman" w:eastAsia="方正黑体_GBK" w:cs="Times New Roman"/>
          <w:sz w:val="32"/>
          <w:szCs w:val="32"/>
        </w:rPr>
      </w:pPr>
    </w:p>
    <w:p w14:paraId="6D97E5D6">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第十三条</w:t>
      </w:r>
      <w:r>
        <w:rPr>
          <w:rFonts w:hint="default" w:ascii="Times New Roman" w:hAnsi="Times New Roman" w:eastAsia="方正仿宋_GBK" w:cs="Times New Roman"/>
          <w:sz w:val="32"/>
          <w:szCs w:val="32"/>
        </w:rPr>
        <w:t xml:space="preserve">  本实施办法所称人员安置对象应当从征收土地预公告之日计入被征地农村集体经济组织总人口的人员中产生。</w:t>
      </w:r>
    </w:p>
    <w:p w14:paraId="424ABB32">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下列人员计入被征地农村集体经济组织总人口：</w:t>
      </w:r>
    </w:p>
    <w:p w14:paraId="6A5DD4B5">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（一）户口登记在被征地农村集体经济组织所在地，且取得该农村集体经济组织土地承包经营权的人员；</w:t>
      </w:r>
    </w:p>
    <w:p w14:paraId="36846541">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（二）因出生、政策性移民将户口登记在被征地农村集体经济组织所在地，且依法享有该农村集体经济组织土地承包经营权的人员；</w:t>
      </w:r>
    </w:p>
    <w:p w14:paraId="1BBE7D70">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（三）因合法收养、合法婚姻将户口从其他农村集体经济组织迁入并长期在被征地农村集体经济组织生产生活，且依法享有被征地农村集体经济组织土地承包经营权的人员；</w:t>
      </w:r>
    </w:p>
    <w:p w14:paraId="3AE1D96B">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（四）依法享有被征地农村集体经济组织土地承包经营权的在校大中专学生（含连续就读的硕士、博士研究生）、现役</w:t>
      </w:r>
      <w:r>
        <w:rPr>
          <w:rFonts w:hint="default" w:ascii="Times New Roman" w:hAnsi="Times New Roman" w:eastAsia="方正仿宋_GBK" w:cs="Times New Roman"/>
          <w:bCs/>
          <w:sz w:val="32"/>
          <w:szCs w:val="32"/>
        </w:rPr>
        <w:t>军士</w:t>
      </w:r>
      <w:r>
        <w:rPr>
          <w:rFonts w:hint="default" w:ascii="Times New Roman" w:hAnsi="Times New Roman" w:eastAsia="方正仿宋_GBK" w:cs="Times New Roman"/>
          <w:sz w:val="32"/>
          <w:szCs w:val="32"/>
        </w:rPr>
        <w:t>和义务兵、儿童福利机构孤儿、服刑人员；</w:t>
      </w:r>
    </w:p>
    <w:p w14:paraId="7E8E33DB">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（五）按照重庆市统筹城乡户籍制度改革有关规定保留征地补偿安置权利的人员；</w:t>
      </w:r>
    </w:p>
    <w:p w14:paraId="0D2C3040">
      <w:pPr>
        <w:pStyle w:val="13"/>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rPr>
      </w:pPr>
      <w:r>
        <w:rPr>
          <w:rFonts w:hint="default" w:ascii="Times New Roman" w:hAnsi="Times New Roman" w:eastAsia="方正仿宋_GBK" w:cs="Times New Roman"/>
          <w:color w:val="auto"/>
          <w:kern w:val="2"/>
          <w:sz w:val="32"/>
          <w:szCs w:val="32"/>
        </w:rPr>
        <w:t>（六）因其他原因，户口从被征地农村集体经济组织所在地迁出进城落户，但长期在被征地农村集体经济组织生产生活，且取得该农村集体经济组织土地承包经营权的人员。</w:t>
      </w:r>
    </w:p>
    <w:p w14:paraId="6F719458">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第十四条</w:t>
      </w:r>
      <w:r>
        <w:rPr>
          <w:rFonts w:hint="default" w:ascii="Times New Roman" w:hAnsi="Times New Roman" w:eastAsia="方正仿宋_GBK" w:cs="Times New Roman"/>
          <w:sz w:val="32"/>
          <w:szCs w:val="32"/>
        </w:rPr>
        <w:t xml:space="preserve">  符合本实施办法第十三条规定但有下列情形之一的人员，不计入被征地农村集体经济组织总人口：</w:t>
      </w:r>
    </w:p>
    <w:p w14:paraId="06ACDCD2">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（一）征地前已实行征地人员安置的人员；</w:t>
      </w:r>
    </w:p>
    <w:p w14:paraId="6B9EAA12">
      <w:pPr>
        <w:keepNext w:val="0"/>
        <w:keepLines w:val="0"/>
        <w:pageBreakBefore w:val="0"/>
        <w:kinsoku/>
        <w:wordWrap/>
        <w:overflowPunct/>
        <w:topLinePunct w:val="0"/>
        <w:bidi w:val="0"/>
        <w:snapToGrid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（二）国家机关、人民团体、</w:t>
      </w:r>
      <w:r>
        <w:rPr>
          <w:rFonts w:hint="default" w:ascii="Times New Roman" w:hAnsi="Times New Roman" w:eastAsia="方正仿宋_GBK" w:cs="Times New Roman"/>
          <w:bCs/>
          <w:sz w:val="32"/>
          <w:szCs w:val="32"/>
        </w:rPr>
        <w:t>事业单位等在</w:t>
      </w:r>
      <w:r>
        <w:rPr>
          <w:rFonts w:hint="default" w:ascii="Times New Roman" w:hAnsi="Times New Roman" w:eastAsia="方正仿宋_GBK" w:cs="Times New Roman"/>
          <w:sz w:val="32"/>
          <w:szCs w:val="32"/>
        </w:rPr>
        <w:t>编在职和退休人员。</w:t>
      </w:r>
    </w:p>
    <w:p w14:paraId="59E86D56">
      <w:pPr>
        <w:keepNext w:val="0"/>
        <w:keepLines w:val="0"/>
        <w:pageBreakBefore w:val="0"/>
        <w:kinsoku/>
        <w:wordWrap/>
        <w:overflowPunct/>
        <w:topLinePunct w:val="0"/>
        <w:bidi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第十五条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农村集体经济组织的土地被全部征收的，按照本实施办法计入被征地农村集体经济组织总人口的人员全部为人员安置对象。</w:t>
      </w:r>
    </w:p>
    <w:p w14:paraId="2403E409">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农村集体经济组织的土地被部分征收的，人员安置对象的人数按照被征收土地面积除以被征地农村集体经济组织人均土地面积计算。其中，被征收土地中耕地占比超过农村集体经济组织耕地占比的，人员安置对象人数为按照本款前述方法计算的人数乘以被征收土地中耕地占比再除以农村集体经济组织耕地占比。</w:t>
      </w:r>
    </w:p>
    <w:p w14:paraId="0F0833FB">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前款所称人均土地面积为集体土地所有权证登记的土地总面积（不含已被征收的面积）除以按照本实施办法计入被征地农村集体经济组织总人口数。前款所称农村集体经济组织耕地占比为集体土地所有权证登记的耕地面积（不含已被征收的面积）占土地总面积（不含已被征收的面积）的比例。</w:t>
      </w:r>
    </w:p>
    <w:p w14:paraId="3A142D8F">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第十六条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具体的人员安置对象由被征地农村集体经济组织按照农户被征地多少和剩余耕地情况在农村集体经济组织总人口中确定。其中：征收家庭承包土地产生的人员安置对象人数，</w:t>
      </w:r>
      <w:r>
        <w:rPr>
          <w:rFonts w:hint="default" w:ascii="Times New Roman" w:hAnsi="Times New Roman" w:eastAsia="方正仿宋_GBK" w:cs="Times New Roman"/>
          <w:sz w:val="32"/>
          <w:szCs w:val="32"/>
        </w:rPr>
        <w:t>按照被征收耕地数量在被征地农户中从高到低依次确定；征收未发包土地或者其他方式承包土地产生的人员安置对象人数，按照征地后农户剩余人</w:t>
      </w:r>
      <w:r>
        <w:rPr>
          <w:rFonts w:hint="default" w:ascii="Times New Roman" w:hAnsi="Times New Roman" w:eastAsia="方正仿宋_GBK" w:cs="Times New Roman"/>
          <w:color w:val="000000"/>
          <w:sz w:val="32"/>
          <w:szCs w:val="32"/>
        </w:rPr>
        <w:t>均耕地数量在被征地农户中从低到高依次确定；只征收未发包土地的，由村民代表</w:t>
      </w:r>
      <w:r>
        <w:rPr>
          <w:rFonts w:hint="default" w:ascii="Times New Roman" w:hAnsi="Times New Roman" w:eastAsia="方正仿宋_GBK" w:cs="Times New Roman"/>
          <w:sz w:val="32"/>
          <w:szCs w:val="32"/>
        </w:rPr>
        <w:t>会议讨论确定具体人员。</w:t>
      </w:r>
    </w:p>
    <w:p w14:paraId="04768F90">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具体的人员安置对象经农村集体经济组织公示7日无异议后，报乡镇人民政府（街道办事处）初审，区征地实施机构会同区规划自然资源局、区人力社保局、区公安局、区农业农村委等部门复核，报区人民政府核准。</w:t>
      </w:r>
    </w:p>
    <w:p w14:paraId="32ECA05D">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b/>
          <w:bCs/>
          <w:color w:val="000000"/>
          <w:sz w:val="32"/>
          <w:szCs w:val="32"/>
        </w:rPr>
      </w:pPr>
      <w:r>
        <w:rPr>
          <w:rFonts w:hint="default" w:ascii="Times New Roman" w:hAnsi="Times New Roman" w:eastAsia="方正楷体_GBK" w:cs="Times New Roman"/>
          <w:sz w:val="32"/>
          <w:szCs w:val="32"/>
        </w:rPr>
        <w:t>第十七条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区人民政府将符合条件的人员安置对象纳入相应的养老等社会保障体系，并安排人员安置对象的社会保障费用，主要用于人员安置对象的养老保险等社会保险缴费补贴。人员安置对象的基本养老保险缴费补贴办法及标准，按照市人民政府有关规定执行。</w:t>
      </w:r>
    </w:p>
    <w:p w14:paraId="51034C54">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第十八条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区人力社保局应当将劳动力年龄段内有劳动能力、有就业需求的人员安置对象纳入公共就业服务范围，组织开展就业创业服务活动，促进其就业创业。</w:t>
      </w:r>
    </w:p>
    <w:p w14:paraId="12306833">
      <w:pPr>
        <w:keepNext w:val="0"/>
        <w:keepLines w:val="0"/>
        <w:pageBreakBefore w:val="0"/>
        <w:kinsoku/>
        <w:wordWrap/>
        <w:overflowPunct/>
        <w:topLinePunct w:val="0"/>
        <w:bidi w:val="0"/>
        <w:spacing w:line="600" w:lineRule="exact"/>
        <w:ind w:left="0" w:leftChars="0" w:right="0" w:rightChars="0"/>
        <w:jc w:val="center"/>
        <w:textAlignment w:val="auto"/>
        <w:rPr>
          <w:rFonts w:hint="default" w:ascii="Times New Roman" w:hAnsi="Times New Roman" w:eastAsia="方正黑体_GBK" w:cs="Times New Roman"/>
          <w:sz w:val="32"/>
          <w:szCs w:val="32"/>
        </w:rPr>
      </w:pPr>
    </w:p>
    <w:p w14:paraId="0C3FE808">
      <w:pPr>
        <w:keepNext w:val="0"/>
        <w:keepLines w:val="0"/>
        <w:pageBreakBefore w:val="0"/>
        <w:numPr>
          <w:ilvl w:val="0"/>
          <w:numId w:val="1"/>
        </w:numPr>
        <w:kinsoku/>
        <w:wordWrap/>
        <w:overflowPunct/>
        <w:topLinePunct w:val="0"/>
        <w:bidi w:val="0"/>
        <w:spacing w:line="600" w:lineRule="exact"/>
        <w:ind w:left="0" w:leftChars="0" w:right="0" w:rightChars="0" w:firstLine="0" w:firstLineChars="0"/>
        <w:jc w:val="center"/>
        <w:textAlignment w:val="auto"/>
        <w:rPr>
          <w:rFonts w:hint="default"/>
        </w:rPr>
      </w:pPr>
      <w:r>
        <w:rPr>
          <w:rFonts w:hint="default" w:ascii="Times New Roman" w:hAnsi="Times New Roman" w:eastAsia="方正黑体_GBK" w:cs="Times New Roman"/>
          <w:sz w:val="32"/>
          <w:szCs w:val="32"/>
        </w:rPr>
        <w:t xml:space="preserve"> 住房安置</w:t>
      </w:r>
    </w:p>
    <w:p w14:paraId="7F5D7111">
      <w:pPr>
        <w:pStyle w:val="13"/>
        <w:keepNext w:val="0"/>
        <w:keepLines w:val="0"/>
        <w:pageBreakBefore w:val="0"/>
        <w:kinsoku/>
        <w:wordWrap/>
        <w:overflowPunct/>
        <w:topLinePunct w:val="0"/>
        <w:bidi w:val="0"/>
        <w:spacing w:line="600" w:lineRule="exact"/>
        <w:ind w:left="0" w:leftChars="0" w:right="0" w:rightChars="0" w:firstLine="640" w:firstLineChars="200"/>
        <w:jc w:val="both"/>
        <w:textAlignment w:val="auto"/>
        <w:rPr>
          <w:rFonts w:hint="default" w:ascii="Times New Roman" w:hAnsi="Times New Roman" w:eastAsia="方正楷体_GBK" w:cs="Times New Roman"/>
          <w:sz w:val="32"/>
          <w:szCs w:val="32"/>
        </w:rPr>
      </w:pPr>
    </w:p>
    <w:p w14:paraId="5BC050F8">
      <w:pPr>
        <w:pStyle w:val="13"/>
        <w:keepNext w:val="0"/>
        <w:keepLines w:val="0"/>
        <w:pageBreakBefore w:val="0"/>
        <w:kinsoku/>
        <w:wordWrap/>
        <w:overflowPunct/>
        <w:topLinePunct w:val="0"/>
        <w:bidi w:val="0"/>
        <w:spacing w:line="60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第十九条</w:t>
      </w:r>
      <w:r>
        <w:rPr>
          <w:rFonts w:hint="default" w:ascii="Times New Roman" w:hAnsi="Times New Roman" w:eastAsia="方正仿宋_GBK" w:cs="Times New Roman"/>
          <w:sz w:val="32"/>
          <w:szCs w:val="32"/>
        </w:rPr>
        <w:t xml:space="preserve">  农村集体经济组织的土地被全部征收的，按照本实施办法计入被征地农村集体经济组织总人口且享有被征地农村集体经济组织宅基地权利的人员全部为住房安置对象。</w:t>
      </w:r>
    </w:p>
    <w:p w14:paraId="634B2A5E">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农村集体经济组织的土地被部分征收的，征收土地预公告之日，</w:t>
      </w:r>
      <w:r>
        <w:rPr>
          <w:rFonts w:hint="eastAsia" w:ascii="方正仿宋_GBK" w:hAnsi="方正仿宋_GBK" w:eastAsia="方正仿宋_GBK" w:cs="方正仿宋_GBK"/>
          <w:b w:val="0"/>
          <w:bCs w:val="0"/>
          <w:color w:val="000000" w:themeColor="text1"/>
          <w:sz w:val="32"/>
          <w:szCs w:val="32"/>
          <w14:textFill>
            <w14:solidFill>
              <w14:schemeClr w14:val="tx1"/>
            </w14:solidFill>
          </w14:textFill>
        </w:rPr>
        <w:t>合法拥有征地范围内被搬迁住房的所有权</w:t>
      </w:r>
      <w:r>
        <w:rPr>
          <w:rFonts w:hint="eastAsia" w:ascii="方正仿宋_GBK" w:hAnsi="方正仿宋_GBK" w:eastAsia="方正仿宋_GBK" w:cs="方正仿宋_GBK"/>
          <w:b w:val="0"/>
          <w:bCs w:val="0"/>
          <w:color w:val="000000"/>
          <w:sz w:val="32"/>
          <w:szCs w:val="32"/>
        </w:rPr>
        <w:t>，</w:t>
      </w:r>
      <w:r>
        <w:rPr>
          <w:rFonts w:hint="default" w:ascii="Times New Roman" w:hAnsi="Times New Roman" w:eastAsia="方正仿宋_GBK" w:cs="Times New Roman"/>
          <w:color w:val="000000"/>
          <w:sz w:val="32"/>
          <w:szCs w:val="32"/>
        </w:rPr>
        <w:t>且按照本实施办法计入被征地农村集体经济组织总人口的人员为住房安置对象。</w:t>
      </w:r>
    </w:p>
    <w:p w14:paraId="60E1DC2F">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征地前已实行征地人员安置但住房未被搬迁的人员，在其住房搬迁时纳入住房安置对象范围。</w:t>
      </w:r>
    </w:p>
    <w:p w14:paraId="1624D773">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第二十条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符合本实施办法第十九条规定但有下列情形之一的人员，不属于住房安置对象：</w:t>
      </w:r>
    </w:p>
    <w:p w14:paraId="6B445AC1">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（一）本实施办法施行前已实行征地住房安置的人员；</w:t>
      </w:r>
    </w:p>
    <w:p w14:paraId="3E7FFB9B">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（二）已享受政策性住房的人员，含已享受</w:t>
      </w:r>
      <w:r>
        <w:rPr>
          <w:rFonts w:hint="default" w:ascii="Times New Roman" w:hAnsi="Times New Roman" w:eastAsia="方正仿宋_GBK" w:cs="Times New Roman"/>
          <w:sz w:val="32"/>
          <w:szCs w:val="32"/>
        </w:rPr>
        <w:t>福利分房、划拨国有土地上自建房以及由单位修建并销售给职工的政策性实物住房等人员</w:t>
      </w:r>
      <w:r>
        <w:rPr>
          <w:rFonts w:hint="default" w:ascii="Times New Roman" w:hAnsi="Times New Roman" w:eastAsia="方正仿宋_GBK" w:cs="Times New Roman"/>
          <w:color w:val="000000"/>
          <w:sz w:val="32"/>
          <w:szCs w:val="32"/>
        </w:rPr>
        <w:t>。</w:t>
      </w:r>
    </w:p>
    <w:p w14:paraId="27CAB4CD">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第二十一条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住房安置可以采取农村宅基地自建安置、安置房安置或者货币安置等方式。住房安置对象应当以户为单位统一选择一种安置方式，一处宅基地上的住房计为一户，即以不动产首次登记的或者合法建房手续批准的房屋作为计户依据。</w:t>
      </w:r>
    </w:p>
    <w:p w14:paraId="5849BA23">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选择农村宅基地自建安置的，应当符合国土空间规划或者乡（镇）土地利用总体规划、村庄规划，以及国家、重庆市和本区关于宅基地建房的有关规定。</w:t>
      </w:r>
    </w:p>
    <w:p w14:paraId="37A5A602">
      <w:pPr>
        <w:pStyle w:val="5"/>
        <w:keepNext w:val="0"/>
        <w:keepLines w:val="0"/>
        <w:pageBreakBefore w:val="0"/>
        <w:kinsoku/>
        <w:wordWrap/>
        <w:overflowPunct/>
        <w:topLinePunct w:val="0"/>
        <w:bidi w:val="0"/>
        <w:spacing w:line="600" w:lineRule="exact"/>
        <w:ind w:left="0" w:leftChars="0" w:right="0" w:rightChars="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住房安置对象采取安置房安置或者货币安置后，该户家庭成员不得再申请农村宅基地新建住房。</w:t>
      </w:r>
    </w:p>
    <w:p w14:paraId="0E7BF6C8">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rPr>
      </w:pPr>
      <w:r>
        <w:rPr>
          <w:rFonts w:hint="default" w:ascii="Times New Roman" w:hAnsi="Times New Roman" w:eastAsia="方正楷体_GBK" w:cs="Times New Roman"/>
          <w:sz w:val="32"/>
          <w:szCs w:val="32"/>
        </w:rPr>
        <w:t>第二十二条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农村宅基地自建安置的，按照被拆迁房屋重置价格标准</w:t>
      </w:r>
      <w:r>
        <w:rPr>
          <w:rFonts w:hint="default" w:ascii="Times New Roman" w:hAnsi="Times New Roman" w:eastAsia="方正仿宋_GBK" w:cs="Times New Roman"/>
          <w:sz w:val="32"/>
          <w:szCs w:val="32"/>
        </w:rPr>
        <w:t>的50%给予自建住房补助。对住房安置对象的新宅基地取得予以补助，补助标准为每个住房安置对象9000元。</w:t>
      </w:r>
    </w:p>
    <w:p w14:paraId="2436E23C">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rPr>
      </w:pPr>
      <w:r>
        <w:rPr>
          <w:rFonts w:hint="default" w:ascii="Times New Roman" w:hAnsi="Times New Roman" w:eastAsia="方正楷体_GBK" w:cs="Times New Roman"/>
          <w:sz w:val="32"/>
          <w:szCs w:val="32"/>
        </w:rPr>
        <w:t>第二十三条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安置房安置或者货币安置的，住房安置对象的住房安置建筑面积标准</w:t>
      </w:r>
      <w:r>
        <w:rPr>
          <w:rFonts w:hint="default" w:ascii="Times New Roman" w:hAnsi="Times New Roman" w:eastAsia="方正仿宋_GBK" w:cs="Times New Roman"/>
          <w:kern w:val="0"/>
          <w:sz w:val="32"/>
          <w:szCs w:val="32"/>
        </w:rPr>
        <w:t>为每人30平方米</w:t>
      </w:r>
      <w:r>
        <w:rPr>
          <w:rFonts w:hint="default" w:ascii="Times New Roman" w:hAnsi="Times New Roman" w:eastAsia="方正仿宋_GBK" w:cs="Times New Roman"/>
          <w:color w:val="000000"/>
          <w:sz w:val="32"/>
          <w:szCs w:val="32"/>
        </w:rPr>
        <w:t>。</w:t>
      </w:r>
    </w:p>
    <w:p w14:paraId="7A0B2812">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第二十四条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住房安置对象夫妻双方均无子女的，实行安置房安置或者货币安置时，可以申请增加30平方米建筑面积的住房。</w:t>
      </w:r>
    </w:p>
    <w:p w14:paraId="1920DA38">
      <w:pPr>
        <w:keepNext w:val="0"/>
        <w:keepLines w:val="0"/>
        <w:pageBreakBefore w:val="0"/>
        <w:kinsoku/>
        <w:wordWrap/>
        <w:overflowPunct/>
        <w:topLinePunct w:val="0"/>
        <w:bidi w:val="0"/>
        <w:spacing w:line="60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在区政府发布征收土地预公告之后，住房安置对象夫妻双方符合生育政策且已怀孕的，实行安置房安置或者货币安置时，凭县级以上医疗机构出具的已孕佐证资料，可以申请增加30平方米建筑面积的住房。</w:t>
      </w:r>
    </w:p>
    <w:p w14:paraId="0E127F2C">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住房安置对象的配偶或者未成年子女，不属于被征地农村集体经济组织总人口范围，但同时符合下列条件的，实行安置房安置或者货币安置时，可以申请增加30平方米建筑面积的住房，与住房安置对象合并安置：</w:t>
      </w:r>
    </w:p>
    <w:p w14:paraId="6DFF2938">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b/>
          <w:color w:val="000000"/>
          <w:sz w:val="32"/>
          <w:szCs w:val="32"/>
          <w:u w:val="single"/>
        </w:rPr>
      </w:pPr>
      <w:r>
        <w:rPr>
          <w:rFonts w:hint="default" w:ascii="Times New Roman" w:hAnsi="Times New Roman" w:eastAsia="方正仿宋_GBK" w:cs="Times New Roman"/>
          <w:color w:val="000000"/>
          <w:sz w:val="32"/>
          <w:szCs w:val="32"/>
        </w:rPr>
        <w:t>（一）</w:t>
      </w:r>
      <w:r>
        <w:rPr>
          <w:rFonts w:hint="default" w:ascii="Times New Roman" w:hAnsi="Times New Roman" w:eastAsia="方正仿宋_GBK" w:cs="Times New Roman"/>
          <w:sz w:val="32"/>
          <w:szCs w:val="32"/>
        </w:rPr>
        <w:t>长期居住在被征地范围内；</w:t>
      </w:r>
    </w:p>
    <w:p w14:paraId="06A19A59">
      <w:pPr>
        <w:keepNext w:val="0"/>
        <w:keepLines w:val="0"/>
        <w:pageBreakBefore w:val="0"/>
        <w:kinsoku/>
        <w:wordWrap/>
        <w:overflowPunct/>
        <w:topLinePunct w:val="0"/>
        <w:bidi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（二）征地前未实行征地住房安置；</w:t>
      </w:r>
    </w:p>
    <w:p w14:paraId="14C70BEB">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（三）住房安置对象及其配偶、未成年子女均无商品房、农村住房，也未享受过福利房、经济适用房、安置房等住房；</w:t>
      </w:r>
    </w:p>
    <w:p w14:paraId="4A39F738">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（四）不享有其他农村集体经济组织宅基地权利。</w:t>
      </w:r>
    </w:p>
    <w:p w14:paraId="49F5E7BF">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第二十五条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安置房安置的，应安置建筑面积的部分，按照砖混结构房屋的重置价格标准购买。</w:t>
      </w:r>
    </w:p>
    <w:p w14:paraId="757F64D0">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u w:val="single"/>
        </w:rPr>
      </w:pPr>
      <w:r>
        <w:rPr>
          <w:rFonts w:hint="default" w:ascii="Times New Roman" w:hAnsi="Times New Roman" w:eastAsia="方正仿宋_GBK" w:cs="Times New Roman"/>
          <w:color w:val="000000"/>
          <w:sz w:val="32"/>
          <w:szCs w:val="32"/>
        </w:rPr>
        <w:t>因户型设计等原因，以户为单位，安置房超过应安置建筑面积不满5平方米的部分，按照安置房建安造价的50%购买；超过应安置建筑面积5平方米以上不满10平方米的部分，按照安置房建安造价购买；超过应安置建筑面积10平方米以上的部分，按照住房货币安置价格标准购买。</w:t>
      </w:r>
    </w:p>
    <w:p w14:paraId="24E7EE01">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rPr>
      </w:pPr>
      <w:r>
        <w:rPr>
          <w:rFonts w:hint="default" w:ascii="Times New Roman" w:hAnsi="Times New Roman" w:eastAsia="方正仿宋_GBK" w:cs="Times New Roman"/>
          <w:color w:val="000000"/>
          <w:sz w:val="32"/>
          <w:szCs w:val="32"/>
        </w:rPr>
        <w:t>因户型设计、住房安置对象意愿等原因，购买安置房未达到应安置建筑面积的，不足部分按照本实施办法第二十七条规定的住房货币安置价格标准支付给住房安置对象。</w:t>
      </w:r>
    </w:p>
    <w:p w14:paraId="476B781A">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第二十六条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安置房应当在国有土地上建设。</w:t>
      </w:r>
    </w:p>
    <w:p w14:paraId="719393BF">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安置房建设单位应当安排安置房的建设资金、首期物业专项维修资金以及居民用电、自来水、天然气、有线电视的安装费用。</w:t>
      </w:r>
    </w:p>
    <w:p w14:paraId="6B294FBD">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第二十七条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住房货币安置的，货币安置款额等于住房货币安置价格标准乘以应安置建筑面积。住房货币安置价格标准按照附件5执行。</w:t>
      </w:r>
    </w:p>
    <w:p w14:paraId="69FF7F50">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第二十八条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住房安置对象合法拥有两处以上（含两处）农村住房的，只在其享有宅基地权利的住房被搬迁时安置1次住房，不得重复安置住房。</w:t>
      </w:r>
    </w:p>
    <w:p w14:paraId="1BC969C3">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第二十九条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color w:val="000000"/>
          <w:sz w:val="32"/>
          <w:szCs w:val="32"/>
        </w:rPr>
        <w:t>征地搬迁农村住房，按照每人每次800元的标准支付搬迁费，用于被搬迁户搬家及生产生活设施迁移，按两次计发。</w:t>
      </w:r>
    </w:p>
    <w:p w14:paraId="4EAAC930">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b/>
          <w:bCs/>
          <w:color w:val="000000"/>
          <w:sz w:val="32"/>
          <w:szCs w:val="32"/>
          <w:u w:val="single"/>
        </w:rPr>
      </w:pPr>
      <w:r>
        <w:rPr>
          <w:rFonts w:hint="default" w:ascii="Times New Roman" w:hAnsi="Times New Roman" w:eastAsia="方正仿宋_GBK" w:cs="Times New Roman"/>
          <w:color w:val="000000"/>
          <w:sz w:val="32"/>
          <w:szCs w:val="32"/>
        </w:rPr>
        <w:t>农村宅基地自建安置的，按照符合宅基地申请条件的人员每人每月240元计算，一次性支付18个月的临时安置费。</w:t>
      </w:r>
    </w:p>
    <w:p w14:paraId="3386954B">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安置房安置的，按照每人每月240元计算，支付自搬迁之月起至安置房交付后6个月止期间的临时安置费。</w:t>
      </w:r>
    </w:p>
    <w:p w14:paraId="2D64211D">
      <w:pPr>
        <w:keepNext w:val="0"/>
        <w:keepLines w:val="0"/>
        <w:pageBreakBefore w:val="0"/>
        <w:kinsoku/>
        <w:wordWrap/>
        <w:overflowPunct/>
        <w:topLinePunct w:val="0"/>
        <w:autoSpaceDE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住房货币安置的，按照每人每月240元计算，一次性支付12个月的临时安置费。</w:t>
      </w:r>
    </w:p>
    <w:p w14:paraId="13B4E7CB">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第三十条</w:t>
      </w:r>
      <w:r>
        <w:rPr>
          <w:rFonts w:hint="default" w:ascii="Times New Roman" w:hAnsi="Times New Roman" w:eastAsia="方正仿宋_GBK" w:cs="Times New Roman"/>
          <w:color w:val="000000"/>
          <w:sz w:val="32"/>
          <w:szCs w:val="32"/>
        </w:rPr>
        <w:t xml:space="preserve">  实行安置房安置或者货币安置的，按照应安置住房的建筑面积每平方米450元的标准给予基本装修费补助。</w:t>
      </w:r>
    </w:p>
    <w:p w14:paraId="2DC98252">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第三十一条</w:t>
      </w:r>
      <w:r>
        <w:rPr>
          <w:rFonts w:hint="default" w:ascii="Times New Roman" w:hAnsi="Times New Roman" w:eastAsia="方正楷体_GBK" w:cs="Times New Roman"/>
          <w:color w:val="000000"/>
          <w:sz w:val="32"/>
          <w:szCs w:val="32"/>
          <w:lang w:val="en-US" w:eastAsia="zh-CN"/>
        </w:rPr>
        <w:t xml:space="preserve">  </w:t>
      </w:r>
      <w:r>
        <w:rPr>
          <w:rFonts w:hint="default" w:ascii="Times New Roman" w:hAnsi="Times New Roman" w:eastAsia="方正仿宋_GBK" w:cs="Times New Roman"/>
          <w:sz w:val="32"/>
          <w:szCs w:val="32"/>
        </w:rPr>
        <w:t>中心城区建设用地范围外选择住房货币安置的，按照应安置住房的建筑面积每平方米200元的标准给予货币安置购房补助；中心城区建设用地范围内选择住房货币安置的，按照应安置住房的建筑面积每平方</w:t>
      </w:r>
      <w:r>
        <w:rPr>
          <w:rFonts w:hint="default" w:ascii="Times New Roman" w:hAnsi="Times New Roman" w:eastAsia="方正仿宋_GBK" w:cs="Times New Roman"/>
          <w:color w:val="000000"/>
          <w:sz w:val="32"/>
          <w:szCs w:val="32"/>
        </w:rPr>
        <w:t>米300元的标准给予货币安置购房补助。</w:t>
      </w:r>
    </w:p>
    <w:p w14:paraId="54B39BA3">
      <w:pPr>
        <w:keepNext w:val="0"/>
        <w:keepLines w:val="0"/>
        <w:pageBreakBefore w:val="0"/>
        <w:widowControl/>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第三十二条</w:t>
      </w:r>
      <w:r>
        <w:rPr>
          <w:rFonts w:hint="default" w:ascii="Times New Roman" w:hAnsi="Times New Roman" w:eastAsia="方正仿宋_GBK" w:cs="Times New Roman"/>
          <w:color w:val="000000"/>
          <w:sz w:val="32"/>
          <w:szCs w:val="32"/>
        </w:rPr>
        <w:t xml:space="preserve">  被拆迁人在规定时间内签订房屋拆迁补偿安置协议，按协议约定腾交并配合拆除房屋的，按被拆迁房屋重置价格补偿总额（不含上浮补助部分）的20%给予奖励；逾期签订房屋拆迁补偿安置协议或未按协议约定腾交并配合拆除房屋的，不予奖励。</w:t>
      </w:r>
    </w:p>
    <w:p w14:paraId="1ABEB132">
      <w:pPr>
        <w:keepNext w:val="0"/>
        <w:keepLines w:val="0"/>
        <w:pageBreakBefore w:val="0"/>
        <w:kinsoku/>
        <w:wordWrap/>
        <w:overflowPunct/>
        <w:topLinePunct w:val="0"/>
        <w:bidi w:val="0"/>
        <w:adjustRightInd w:val="0"/>
        <w:snapToGrid w:val="0"/>
        <w:spacing w:line="600" w:lineRule="exact"/>
        <w:ind w:left="0" w:leftChars="0" w:right="0" w:rightChars="0"/>
        <w:jc w:val="center"/>
        <w:textAlignment w:val="auto"/>
        <w:rPr>
          <w:rFonts w:hint="default" w:ascii="Times New Roman" w:hAnsi="Times New Roman" w:eastAsia="方正黑体_GBK" w:cs="Times New Roman"/>
          <w:sz w:val="32"/>
          <w:szCs w:val="32"/>
        </w:rPr>
      </w:pPr>
    </w:p>
    <w:p w14:paraId="2F3134B0">
      <w:pPr>
        <w:keepNext w:val="0"/>
        <w:keepLines w:val="0"/>
        <w:pageBreakBefore w:val="0"/>
        <w:kinsoku/>
        <w:wordWrap/>
        <w:overflowPunct/>
        <w:topLinePunct w:val="0"/>
        <w:bidi w:val="0"/>
        <w:adjustRightInd w:val="0"/>
        <w:snapToGrid w:val="0"/>
        <w:spacing w:line="600" w:lineRule="exact"/>
        <w:ind w:left="0" w:leftChars="0" w:right="0" w:rightChars="0"/>
        <w:jc w:val="center"/>
        <w:textAlignment w:val="auto"/>
        <w:rPr>
          <w:rFonts w:hint="default" w:ascii="Times New Roman" w:hAnsi="Times New Roman" w:eastAsia="方正黑体_GBK" w:cs="Times New Roman"/>
          <w:snapToGrid w:val="0"/>
          <w:color w:val="000000"/>
          <w:kern w:val="0"/>
          <w:sz w:val="32"/>
          <w:szCs w:val="32"/>
        </w:rPr>
      </w:pPr>
      <w:r>
        <w:rPr>
          <w:rFonts w:hint="default" w:ascii="Times New Roman" w:hAnsi="Times New Roman" w:eastAsia="方正黑体_GBK" w:cs="Times New Roman"/>
          <w:sz w:val="32"/>
          <w:szCs w:val="32"/>
        </w:rPr>
        <w:t>第五章  附则</w:t>
      </w:r>
    </w:p>
    <w:p w14:paraId="76B51FB6">
      <w:pPr>
        <w:keepNext w:val="0"/>
        <w:keepLines w:val="0"/>
        <w:pageBreakBefore w:val="0"/>
        <w:tabs>
          <w:tab w:val="left" w:pos="681"/>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楷体_GBK" w:cs="Times New Roman"/>
          <w:sz w:val="32"/>
          <w:szCs w:val="32"/>
        </w:rPr>
      </w:pPr>
    </w:p>
    <w:p w14:paraId="693B1331">
      <w:pPr>
        <w:keepNext w:val="0"/>
        <w:keepLines w:val="0"/>
        <w:pageBreakBefore w:val="0"/>
        <w:tabs>
          <w:tab w:val="left" w:pos="681"/>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楷体_GBK" w:cs="Times New Roman"/>
          <w:sz w:val="32"/>
          <w:szCs w:val="32"/>
        </w:rPr>
        <w:t>第</w:t>
      </w:r>
      <w:r>
        <w:rPr>
          <w:rFonts w:hint="default" w:ascii="Times New Roman" w:hAnsi="Times New Roman" w:eastAsia="方正楷体_GBK" w:cs="Times New Roman"/>
          <w:color w:val="000000"/>
          <w:sz w:val="32"/>
          <w:szCs w:val="32"/>
        </w:rPr>
        <w:t>三十三</w:t>
      </w:r>
      <w:r>
        <w:rPr>
          <w:rFonts w:hint="default" w:ascii="Times New Roman" w:hAnsi="Times New Roman" w:eastAsia="方正楷体_GBK" w:cs="Times New Roman"/>
          <w:sz w:val="32"/>
          <w:szCs w:val="32"/>
        </w:rPr>
        <w:t>条</w:t>
      </w:r>
      <w:r>
        <w:rPr>
          <w:rFonts w:hint="default" w:ascii="Times New Roman" w:hAnsi="Times New Roman" w:eastAsia="方正仿宋_GBK" w:cs="Times New Roman"/>
          <w:sz w:val="32"/>
          <w:szCs w:val="32"/>
        </w:rPr>
        <w:t xml:space="preserve">  按照本实施办法规定，需要评估的，评估机构由被评估对象的所有权人</w:t>
      </w:r>
      <w:r>
        <w:rPr>
          <w:rFonts w:hint="default" w:ascii="Times New Roman" w:hAnsi="Times New Roman" w:eastAsia="方正仿宋_GBK" w:cs="Times New Roman"/>
          <w:color w:val="000000"/>
          <w:sz w:val="32"/>
          <w:szCs w:val="32"/>
        </w:rPr>
        <w:t>和区征地实施机构在规定时间内共同选择；</w:t>
      </w:r>
      <w:r>
        <w:rPr>
          <w:rFonts w:hint="default" w:ascii="Times New Roman" w:hAnsi="Times New Roman" w:eastAsia="方正仿宋_GBK" w:cs="Times New Roman"/>
          <w:sz w:val="32"/>
          <w:szCs w:val="32"/>
        </w:rPr>
        <w:t>被评估对象的所有权人在规定时间内不选择的，</w:t>
      </w:r>
      <w:r>
        <w:rPr>
          <w:rFonts w:hint="default" w:ascii="Times New Roman" w:hAnsi="Times New Roman" w:eastAsia="方正仿宋_GBK" w:cs="Times New Roman"/>
          <w:color w:val="000000"/>
          <w:sz w:val="32"/>
          <w:szCs w:val="32"/>
        </w:rPr>
        <w:t>由区征地实施机构按规定程序确定</w:t>
      </w:r>
      <w:r>
        <w:rPr>
          <w:rFonts w:hint="default" w:ascii="Times New Roman" w:hAnsi="Times New Roman" w:eastAsia="方正仿宋_GBK" w:cs="Times New Roman"/>
          <w:sz w:val="32"/>
          <w:szCs w:val="32"/>
        </w:rPr>
        <w:t>。</w:t>
      </w:r>
    </w:p>
    <w:p w14:paraId="5D5A1C1A">
      <w:pPr>
        <w:keepNext w:val="0"/>
        <w:keepLines w:val="0"/>
        <w:pageBreakBefore w:val="0"/>
        <w:tabs>
          <w:tab w:val="left" w:pos="681"/>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rPr>
      </w:pPr>
      <w:r>
        <w:rPr>
          <w:rFonts w:hint="default" w:ascii="Times New Roman" w:hAnsi="Times New Roman" w:eastAsia="方正楷体_GBK" w:cs="Times New Roman"/>
          <w:sz w:val="32"/>
          <w:szCs w:val="32"/>
        </w:rPr>
        <w:t>第</w:t>
      </w:r>
      <w:r>
        <w:rPr>
          <w:rFonts w:hint="default" w:ascii="Times New Roman" w:hAnsi="Times New Roman" w:eastAsia="方正楷体_GBK" w:cs="Times New Roman"/>
          <w:color w:val="000000"/>
          <w:sz w:val="32"/>
          <w:szCs w:val="32"/>
        </w:rPr>
        <w:t>三十四</w:t>
      </w:r>
      <w:r>
        <w:rPr>
          <w:rFonts w:hint="default" w:ascii="Times New Roman" w:hAnsi="Times New Roman" w:eastAsia="方正楷体_GBK" w:cs="Times New Roman"/>
          <w:sz w:val="32"/>
          <w:szCs w:val="32"/>
        </w:rPr>
        <w:t>条</w:t>
      </w:r>
      <w:r>
        <w:rPr>
          <w:rFonts w:hint="default" w:ascii="Times New Roman" w:hAnsi="Times New Roman" w:eastAsia="方正仿宋_GBK" w:cs="Times New Roman"/>
          <w:sz w:val="32"/>
          <w:szCs w:val="32"/>
        </w:rPr>
        <w:t xml:space="preserve">  无民事行为能力人或者限制民事行为能力人，获得的征地补偿安置费用，按照有关规定一次性支付给其法定监护人。</w:t>
      </w:r>
    </w:p>
    <w:p w14:paraId="1B0109F5">
      <w:pPr>
        <w:keepNext w:val="0"/>
        <w:keepLines w:val="0"/>
        <w:pageBreakBefore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第</w:t>
      </w:r>
      <w:r>
        <w:rPr>
          <w:rFonts w:hint="default" w:ascii="Times New Roman" w:hAnsi="Times New Roman" w:eastAsia="方正楷体_GBK" w:cs="Times New Roman"/>
          <w:color w:val="000000"/>
          <w:sz w:val="32"/>
          <w:szCs w:val="32"/>
        </w:rPr>
        <w:t>三十五</w:t>
      </w:r>
      <w:r>
        <w:rPr>
          <w:rFonts w:hint="default" w:ascii="Times New Roman" w:hAnsi="Times New Roman" w:eastAsia="方正楷体_GBK" w:cs="Times New Roman"/>
          <w:sz w:val="32"/>
          <w:szCs w:val="32"/>
        </w:rPr>
        <w:t>条</w:t>
      </w:r>
      <w:r>
        <w:rPr>
          <w:rFonts w:hint="default" w:ascii="Times New Roman" w:hAnsi="Times New Roman" w:eastAsia="方正仿宋_GBK" w:cs="Times New Roman"/>
          <w:sz w:val="32"/>
          <w:szCs w:val="32"/>
        </w:rPr>
        <w:t xml:space="preserve">  国家和本市对大中型水利水电工程建设征地补偿和移民安置另有规定的，从其规定。</w:t>
      </w:r>
    </w:p>
    <w:p w14:paraId="296A34C9">
      <w:pPr>
        <w:keepNext w:val="0"/>
        <w:keepLines w:val="0"/>
        <w:pageBreakBefore w:val="0"/>
        <w:tabs>
          <w:tab w:val="left" w:pos="681"/>
        </w:tabs>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第三十六条</w:t>
      </w:r>
      <w:r>
        <w:rPr>
          <w:rFonts w:hint="default" w:ascii="Times New Roman" w:hAnsi="Times New Roman" w:eastAsia="方正仿宋_GBK" w:cs="Times New Roman"/>
          <w:color w:val="000000"/>
          <w:sz w:val="32"/>
          <w:szCs w:val="32"/>
        </w:rPr>
        <w:t xml:space="preserve">  电力、通</w:t>
      </w:r>
      <w:r>
        <w:rPr>
          <w:rFonts w:hint="eastAsia" w:ascii="Times New Roman" w:hAnsi="Times New Roman" w:eastAsia="方正仿宋_GBK" w:cs="Times New Roman"/>
          <w:color w:val="000000"/>
          <w:sz w:val="32"/>
          <w:szCs w:val="32"/>
          <w:lang w:eastAsia="zh-CN"/>
        </w:rPr>
        <w:t>信</w:t>
      </w:r>
      <w:r>
        <w:rPr>
          <w:rFonts w:hint="default" w:ascii="Times New Roman" w:hAnsi="Times New Roman" w:eastAsia="方正仿宋_GBK" w:cs="Times New Roman"/>
          <w:color w:val="000000"/>
          <w:sz w:val="32"/>
          <w:szCs w:val="32"/>
        </w:rPr>
        <w:t>、给排水、燃气等设施的迁改由项目业主单位负责。迁改费用支付给原权属单位，列入征收成本。</w:t>
      </w:r>
    </w:p>
    <w:p w14:paraId="26A320A4">
      <w:pPr>
        <w:pStyle w:val="13"/>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楷体_GBK" w:cs="Times New Roman"/>
          <w:sz w:val="32"/>
          <w:szCs w:val="32"/>
        </w:rPr>
        <w:t>第三十七条</w:t>
      </w:r>
      <w:r>
        <w:rPr>
          <w:rFonts w:hint="default" w:ascii="Times New Roman" w:hAnsi="Times New Roman" w:eastAsia="方正仿宋_GBK" w:cs="Times New Roman"/>
          <w:sz w:val="32"/>
          <w:szCs w:val="32"/>
        </w:rPr>
        <w:t xml:space="preserve">  本实施办法所称</w:t>
      </w:r>
      <w:r>
        <w:rPr>
          <w:rFonts w:hint="default" w:ascii="Times New Roman" w:hAnsi="Times New Roman" w:eastAsia="方正仿宋_GBK" w:cs="Times New Roman"/>
          <w:bCs/>
          <w:sz w:val="32"/>
          <w:szCs w:val="32"/>
        </w:rPr>
        <w:t>“长期”是指：</w:t>
      </w:r>
    </w:p>
    <w:p w14:paraId="2F14D975">
      <w:pPr>
        <w:pStyle w:val="13"/>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rPr>
      </w:pPr>
      <w:r>
        <w:rPr>
          <w:rFonts w:hint="default" w:ascii="Times New Roman" w:hAnsi="Times New Roman" w:eastAsia="方正仿宋_GBK" w:cs="Times New Roman"/>
          <w:color w:val="auto"/>
          <w:kern w:val="2"/>
          <w:sz w:val="32"/>
          <w:szCs w:val="32"/>
        </w:rPr>
        <w:t>（一）第十三条所称“长期”是指区政府发布征收土地预公告之日，在被征地农村集体经济组织连续生产生活1年以上（离婚后再婚配偶及随迁子女在被征地农村集体经济组织连续生产生活3年以上）。</w:t>
      </w:r>
    </w:p>
    <w:p w14:paraId="32DF5A1E">
      <w:pPr>
        <w:pStyle w:val="13"/>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rPr>
      </w:pPr>
      <w:r>
        <w:rPr>
          <w:rFonts w:hint="default" w:ascii="Times New Roman" w:hAnsi="Times New Roman" w:eastAsia="方正仿宋_GBK" w:cs="Times New Roman"/>
          <w:color w:val="auto"/>
          <w:kern w:val="2"/>
          <w:sz w:val="32"/>
          <w:szCs w:val="32"/>
        </w:rPr>
        <w:t>（二）第二十四条所称“长期”是指区政府发布征收土地预公告之日，在被征地农村集体经济组织连续居住1年以上（离婚后再婚配偶及随迁子女在被征地农村集体经济组织连续居住3年以上）。</w:t>
      </w:r>
    </w:p>
    <w:p w14:paraId="27ADEB5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rPr>
        <w:t>第三十八条</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本实施办法自202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年7月1日起施行。</w:t>
      </w:r>
      <w:r>
        <w:rPr>
          <w:rFonts w:hint="default" w:ascii="Times New Roman" w:hAnsi="Times New Roman" w:eastAsia="方正仿宋_GBK" w:cs="Times New Roman"/>
          <w:sz w:val="32"/>
          <w:szCs w:val="32"/>
          <w:lang w:val="en-US" w:eastAsia="zh-CN"/>
        </w:rPr>
        <w:t>《重庆市黔江区人民政府关于印发〈重庆市黔江区集体土地征收补偿安置实施办法〉的通知》（黔江府发〔2021〕36号）同时废止。</w:t>
      </w:r>
    </w:p>
    <w:p w14:paraId="2FAFE21F">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本实施办法施行前已经确定征地补偿安置方案的项目，按照原政策执行。</w:t>
      </w:r>
    </w:p>
    <w:p w14:paraId="208597E3">
      <w:pPr>
        <w:pStyle w:val="13"/>
        <w:keepNext w:val="0"/>
        <w:keepLines w:val="0"/>
        <w:pageBreakBefore w:val="0"/>
        <w:widowControl w:val="0"/>
        <w:kinsoku/>
        <w:wordWrap/>
        <w:overflowPunct/>
        <w:topLinePunct w:val="0"/>
        <w:bidi w:val="0"/>
        <w:spacing w:line="600" w:lineRule="exact"/>
        <w:ind w:left="0" w:leftChars="0" w:right="0" w:rightChars="0" w:firstLine="640" w:firstLineChars="200"/>
        <w:textAlignment w:val="auto"/>
        <w:rPr>
          <w:rFonts w:hint="default" w:ascii="Times New Roman" w:hAnsi="Times New Roman" w:eastAsia="方正仿宋_GBK" w:cs="Times New Roman"/>
          <w:sz w:val="32"/>
          <w:szCs w:val="32"/>
        </w:rPr>
      </w:pPr>
    </w:p>
    <w:p w14:paraId="39895580">
      <w:pPr>
        <w:keepNext w:val="0"/>
        <w:keepLines w:val="0"/>
        <w:pageBreakBefore w:val="0"/>
        <w:kinsoku/>
        <w:wordWrap/>
        <w:overflowPunct/>
        <w:topLinePunct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snapToGrid w:val="0"/>
          <w:color w:val="000000"/>
          <w:kern w:val="0"/>
          <w:sz w:val="32"/>
          <w:szCs w:val="32"/>
        </w:rPr>
      </w:pPr>
    </w:p>
    <w:p w14:paraId="10A47178">
      <w:pPr>
        <w:keepNext w:val="0"/>
        <w:keepLines w:val="0"/>
        <w:pageBreakBefore w:val="0"/>
        <w:kinsoku/>
        <w:wordWrap/>
        <w:overflowPunct/>
        <w:topLinePunct w:val="0"/>
        <w:bidi w:val="0"/>
        <w:adjustRightInd w:val="0"/>
        <w:snapToGrid w:val="0"/>
        <w:spacing w:line="600" w:lineRule="exact"/>
        <w:ind w:left="0" w:leftChars="0" w:right="0" w:righ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snapToGrid w:val="0"/>
          <w:color w:val="000000"/>
          <w:kern w:val="0"/>
          <w:sz w:val="32"/>
          <w:szCs w:val="32"/>
        </w:rPr>
        <w:t>附件: 1. 黔江区区片综合地价标准</w:t>
      </w:r>
    </w:p>
    <w:p w14:paraId="74D0631F">
      <w:pPr>
        <w:keepNext w:val="0"/>
        <w:keepLines w:val="0"/>
        <w:pageBreakBefore w:val="0"/>
        <w:kinsoku/>
        <w:wordWrap/>
        <w:overflowPunct/>
        <w:topLinePunct w:val="0"/>
        <w:bidi w:val="0"/>
        <w:spacing w:line="600" w:lineRule="exact"/>
        <w:ind w:left="0" w:leftChars="0" w:right="0" w:rightChars="0" w:firstLine="1440" w:firstLineChars="450"/>
        <w:textAlignment w:val="auto"/>
        <w:rPr>
          <w:rFonts w:hint="default" w:ascii="Times New Roman" w:hAnsi="Times New Roman" w:eastAsia="方正仿宋_GBK" w:cs="Times New Roman"/>
          <w:snapToGrid w:val="0"/>
          <w:color w:val="000000"/>
          <w:kern w:val="0"/>
          <w:sz w:val="32"/>
          <w:szCs w:val="32"/>
        </w:rPr>
      </w:pPr>
      <w:r>
        <w:rPr>
          <w:rFonts w:hint="default" w:ascii="Times New Roman" w:hAnsi="Times New Roman" w:eastAsia="方正仿宋_GBK" w:cs="Times New Roman"/>
          <w:snapToGrid w:val="0"/>
          <w:color w:val="000000"/>
          <w:kern w:val="0"/>
          <w:sz w:val="32"/>
          <w:szCs w:val="32"/>
        </w:rPr>
        <w:t>2. 黔江区农村房屋重置价格补偿标准</w:t>
      </w:r>
    </w:p>
    <w:p w14:paraId="67F3D1A5">
      <w:pPr>
        <w:keepNext w:val="0"/>
        <w:keepLines w:val="0"/>
        <w:pageBreakBefore w:val="0"/>
        <w:kinsoku/>
        <w:wordWrap/>
        <w:overflowPunct/>
        <w:topLinePunct w:val="0"/>
        <w:bidi w:val="0"/>
        <w:spacing w:line="600" w:lineRule="exact"/>
        <w:ind w:left="0" w:leftChars="0" w:right="0" w:rightChars="0" w:firstLine="1440" w:firstLineChars="4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napToGrid w:val="0"/>
          <w:color w:val="000000"/>
          <w:kern w:val="0"/>
          <w:sz w:val="32"/>
          <w:szCs w:val="32"/>
        </w:rPr>
        <w:t>3. 黔江区</w:t>
      </w:r>
      <w:r>
        <w:rPr>
          <w:rFonts w:hint="default" w:ascii="Times New Roman" w:hAnsi="Times New Roman" w:eastAsia="方正仿宋_GBK" w:cs="Times New Roman"/>
          <w:sz w:val="32"/>
          <w:szCs w:val="32"/>
        </w:rPr>
        <w:t>房屋装饰装修补助标准</w:t>
      </w:r>
    </w:p>
    <w:p w14:paraId="49062B6C">
      <w:pPr>
        <w:keepNext w:val="0"/>
        <w:keepLines w:val="0"/>
        <w:pageBreakBefore w:val="0"/>
        <w:kinsoku/>
        <w:wordWrap/>
        <w:overflowPunct/>
        <w:topLinePunct w:val="0"/>
        <w:bidi w:val="0"/>
        <w:spacing w:line="600" w:lineRule="exact"/>
        <w:ind w:left="0" w:leftChars="0" w:right="0" w:rightChars="0" w:firstLine="1440" w:firstLineChars="4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napToGrid w:val="0"/>
          <w:color w:val="000000"/>
          <w:kern w:val="0"/>
          <w:sz w:val="32"/>
          <w:szCs w:val="32"/>
        </w:rPr>
        <w:t xml:space="preserve"> 黔江区</w:t>
      </w:r>
      <w:r>
        <w:rPr>
          <w:rFonts w:hint="default" w:ascii="Times New Roman" w:hAnsi="Times New Roman" w:eastAsia="方正仿宋_GBK" w:cs="Times New Roman"/>
          <w:sz w:val="32"/>
          <w:szCs w:val="32"/>
        </w:rPr>
        <w:t>征收土地的建（构）筑物补偿标准</w:t>
      </w:r>
    </w:p>
    <w:p w14:paraId="3D37A4FC">
      <w:pPr>
        <w:keepNext w:val="0"/>
        <w:keepLines w:val="0"/>
        <w:pageBreakBefore w:val="0"/>
        <w:kinsoku/>
        <w:wordWrap/>
        <w:overflowPunct/>
        <w:topLinePunct w:val="0"/>
        <w:bidi w:val="0"/>
        <w:spacing w:line="600" w:lineRule="exact"/>
        <w:ind w:left="0" w:leftChars="0" w:right="0" w:rightChars="0" w:firstLine="1440" w:firstLineChars="450"/>
        <w:textAlignment w:val="auto"/>
        <w:rPr>
          <w:rFonts w:hint="default" w:ascii="Times New Roman" w:hAnsi="Times New Roman" w:eastAsia="方正仿宋_GBK" w:cs="Times New Roman"/>
          <w:color w:val="FF0000"/>
          <w:kern w:val="0"/>
          <w:sz w:val="28"/>
          <w:szCs w:val="28"/>
          <w:u w:val="single"/>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napToGrid w:val="0"/>
          <w:color w:val="000000"/>
          <w:kern w:val="0"/>
          <w:sz w:val="32"/>
          <w:szCs w:val="32"/>
        </w:rPr>
        <w:t xml:space="preserve"> 黔江区</w:t>
      </w:r>
      <w:r>
        <w:rPr>
          <w:rFonts w:hint="default" w:ascii="Times New Roman" w:hAnsi="Times New Roman" w:eastAsia="方正仿宋_GBK" w:cs="Times New Roman"/>
          <w:sz w:val="32"/>
          <w:szCs w:val="32"/>
        </w:rPr>
        <w:t>住房货币安置价格标准</w:t>
      </w:r>
    </w:p>
    <w:p w14:paraId="3658D05A">
      <w:pPr>
        <w:pageBreakBefore w:val="0"/>
        <w:kinsoku/>
        <w:overflowPunct/>
        <w:topLinePunct w:val="0"/>
        <w:bidi w:val="0"/>
        <w:adjustRightInd w:val="0"/>
        <w:snapToGrid w:val="0"/>
        <w:spacing w:line="560" w:lineRule="exact"/>
        <w:ind w:left="0" w:leftChars="0" w:right="0" w:rightChars="0"/>
        <w:textAlignment w:val="auto"/>
        <w:rPr>
          <w:rFonts w:hint="default" w:ascii="Times New Roman" w:hAnsi="Times New Roman" w:eastAsia="方正黑体_GBK" w:cs="Times New Roman"/>
          <w:snapToGrid w:val="0"/>
          <w:color w:val="000000"/>
          <w:kern w:val="0"/>
          <w:sz w:val="32"/>
          <w:szCs w:val="32"/>
        </w:rPr>
      </w:pPr>
    </w:p>
    <w:p w14:paraId="4AAA5896">
      <w:pPr>
        <w:pStyle w:val="5"/>
        <w:pageBreakBefore w:val="0"/>
        <w:kinsoku/>
        <w:overflowPunct/>
        <w:topLinePunct w:val="0"/>
        <w:bidi w:val="0"/>
        <w:ind w:left="0" w:leftChars="0" w:right="0" w:rightChars="0" w:firstLine="0" w:firstLineChars="0"/>
        <w:textAlignment w:val="auto"/>
        <w:rPr>
          <w:rFonts w:hint="default" w:ascii="Times New Roman" w:hAnsi="Times New Roman" w:cs="Times New Roman"/>
          <w:lang w:eastAsia="zh-CN"/>
        </w:rPr>
      </w:pPr>
    </w:p>
    <w:p w14:paraId="38DD1363">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09708F95">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57C46A8C">
      <w:pPr>
        <w:pStyle w:val="2"/>
        <w:rPr>
          <w:rFonts w:ascii="Times New Roman" w:hAnsi="Times New Roman" w:eastAsia="方正黑体_GBK" w:cs="Times New Roman"/>
          <w:snapToGrid w:val="0"/>
          <w:color w:val="000000"/>
          <w:kern w:val="0"/>
          <w:sz w:val="32"/>
          <w:szCs w:val="32"/>
        </w:rPr>
      </w:pPr>
    </w:p>
    <w:p w14:paraId="4D2EEFFF">
      <w:pPr>
        <w:rPr>
          <w:rFonts w:ascii="Times New Roman" w:hAnsi="Times New Roman" w:eastAsia="方正黑体_GBK" w:cs="Times New Roman"/>
          <w:snapToGrid w:val="0"/>
          <w:color w:val="000000"/>
          <w:kern w:val="0"/>
          <w:sz w:val="32"/>
          <w:szCs w:val="32"/>
        </w:rPr>
      </w:pPr>
    </w:p>
    <w:p w14:paraId="0152BAB4">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4299EE1C">
      <w:pPr>
        <w:pStyle w:val="2"/>
        <w:rPr>
          <w:rFonts w:ascii="Times New Roman" w:hAnsi="Times New Roman" w:eastAsia="方正黑体_GBK" w:cs="Times New Roman"/>
          <w:snapToGrid w:val="0"/>
          <w:color w:val="000000"/>
          <w:kern w:val="0"/>
          <w:sz w:val="32"/>
          <w:szCs w:val="32"/>
        </w:rPr>
      </w:pPr>
    </w:p>
    <w:p w14:paraId="5CCD9BC4">
      <w:pPr>
        <w:rPr>
          <w:rFonts w:ascii="Times New Roman" w:hAnsi="Times New Roman" w:eastAsia="方正黑体_GBK" w:cs="Times New Roman"/>
          <w:snapToGrid w:val="0"/>
          <w:color w:val="000000"/>
          <w:kern w:val="0"/>
          <w:sz w:val="32"/>
          <w:szCs w:val="32"/>
        </w:rPr>
      </w:pPr>
    </w:p>
    <w:p w14:paraId="498BB8D8">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2A2CAA18">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小标宋_GBK" w:cs="Times New Roman"/>
          <w:color w:val="000000"/>
          <w:sz w:val="44"/>
          <w:szCs w:val="44"/>
        </w:rPr>
      </w:pPr>
      <w:r>
        <w:rPr>
          <w:rFonts w:ascii="Times New Roman" w:hAnsi="Times New Roman" w:eastAsia="方正黑体_GBK" w:cs="Times New Roman"/>
          <w:snapToGrid w:val="0"/>
          <w:color w:val="000000"/>
          <w:kern w:val="0"/>
          <w:sz w:val="32"/>
          <w:szCs w:val="32"/>
        </w:rPr>
        <w:t>附件1</w:t>
      </w:r>
    </w:p>
    <w:p w14:paraId="43F9C63F">
      <w:pPr>
        <w:pageBreakBefore w:val="0"/>
        <w:kinsoku/>
        <w:overflowPunct/>
        <w:topLinePunct w:val="0"/>
        <w:bidi w:val="0"/>
        <w:adjustRightInd w:val="0"/>
        <w:snapToGrid w:val="0"/>
        <w:spacing w:line="560" w:lineRule="exact"/>
        <w:ind w:left="0" w:leftChars="0" w:right="0" w:rightChars="0"/>
        <w:jc w:val="center"/>
        <w:textAlignment w:val="auto"/>
        <w:rPr>
          <w:rFonts w:ascii="Times New Roman" w:hAnsi="Times New Roman" w:eastAsia="方正仿宋_GBK" w:cs="Times New Roman"/>
          <w:kern w:val="0"/>
          <w:sz w:val="24"/>
        </w:rPr>
      </w:pPr>
      <w:r>
        <w:rPr>
          <w:rFonts w:ascii="Times New Roman" w:hAnsi="Times New Roman" w:eastAsia="方正小标宋_GBK" w:cs="Times New Roman"/>
          <w:snapToGrid w:val="0"/>
          <w:color w:val="000000"/>
          <w:kern w:val="0"/>
          <w:sz w:val="44"/>
          <w:szCs w:val="44"/>
        </w:rPr>
        <w:t>黔江区区片综合地价标准</w:t>
      </w:r>
    </w:p>
    <w:p w14:paraId="30C8E6B1">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color w:val="000000"/>
          <w:sz w:val="44"/>
          <w:szCs w:val="44"/>
        </w:rPr>
      </w:pPr>
      <w:r>
        <w:rPr>
          <w:rFonts w:ascii="Times New Roman" w:hAnsi="Times New Roman" w:eastAsia="方正仿宋_GBK" w:cs="Times New Roman"/>
          <w:kern w:val="0"/>
          <w:sz w:val="28"/>
          <w:szCs w:val="28"/>
        </w:rPr>
        <w:t xml:space="preserve">                                  单位：万元/亩</w:t>
      </w:r>
    </w:p>
    <w:tbl>
      <w:tblPr>
        <w:tblStyle w:val="9"/>
        <w:tblW w:w="84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7"/>
        <w:gridCol w:w="1384"/>
        <w:gridCol w:w="6275"/>
      </w:tblGrid>
      <w:tr w14:paraId="0A212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777" w:type="dxa"/>
            <w:vMerge w:val="restart"/>
            <w:vAlign w:val="center"/>
          </w:tcPr>
          <w:p w14:paraId="3DBAFF80">
            <w:pPr>
              <w:pageBreakBefore w:val="0"/>
              <w:widowControl/>
              <w:kinsoku/>
              <w:overflowPunct/>
              <w:topLinePunct w:val="0"/>
              <w:bidi w:val="0"/>
              <w:spacing w:line="560" w:lineRule="exact"/>
              <w:ind w:left="0" w:leftChars="0" w:right="0" w:rightChars="0"/>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区片</w:t>
            </w:r>
          </w:p>
        </w:tc>
        <w:tc>
          <w:tcPr>
            <w:tcW w:w="1384" w:type="dxa"/>
            <w:vMerge w:val="restart"/>
            <w:vAlign w:val="center"/>
          </w:tcPr>
          <w:p w14:paraId="109800F5">
            <w:pPr>
              <w:pageBreakBefore w:val="0"/>
              <w:widowControl/>
              <w:kinsoku/>
              <w:overflowPunct/>
              <w:topLinePunct w:val="0"/>
              <w:bidi w:val="0"/>
              <w:spacing w:line="560" w:lineRule="exact"/>
              <w:ind w:left="0" w:leftChars="0" w:right="0" w:rightChars="0"/>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区片综合地价标准</w:t>
            </w:r>
          </w:p>
        </w:tc>
        <w:tc>
          <w:tcPr>
            <w:tcW w:w="6275" w:type="dxa"/>
            <w:vMerge w:val="restart"/>
            <w:vAlign w:val="center"/>
          </w:tcPr>
          <w:p w14:paraId="5C99A408">
            <w:pPr>
              <w:pageBreakBefore w:val="0"/>
              <w:tabs>
                <w:tab w:val="center" w:pos="2496"/>
              </w:tabs>
              <w:kinsoku/>
              <w:overflowPunct/>
              <w:topLinePunct w:val="0"/>
              <w:bidi w:val="0"/>
              <w:spacing w:line="560" w:lineRule="exact"/>
              <w:ind w:left="0" w:leftChars="0" w:right="0" w:rightChars="0"/>
              <w:jc w:val="center"/>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范围</w:t>
            </w:r>
          </w:p>
        </w:tc>
      </w:tr>
      <w:tr w14:paraId="3CC55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777" w:type="dxa"/>
            <w:vMerge w:val="continue"/>
            <w:vAlign w:val="center"/>
          </w:tcPr>
          <w:p w14:paraId="6B823D07">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p>
        </w:tc>
        <w:tc>
          <w:tcPr>
            <w:tcW w:w="1384" w:type="dxa"/>
            <w:vMerge w:val="continue"/>
            <w:vAlign w:val="center"/>
          </w:tcPr>
          <w:p w14:paraId="1C65E42F">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p>
        </w:tc>
        <w:tc>
          <w:tcPr>
            <w:tcW w:w="6275" w:type="dxa"/>
            <w:vMerge w:val="continue"/>
          </w:tcPr>
          <w:p w14:paraId="7F814709">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p>
        </w:tc>
      </w:tr>
      <w:tr w14:paraId="29AB8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7" w:hRule="atLeast"/>
          <w:jc w:val="center"/>
        </w:trPr>
        <w:tc>
          <w:tcPr>
            <w:tcW w:w="777" w:type="dxa"/>
            <w:vAlign w:val="center"/>
          </w:tcPr>
          <w:p w14:paraId="5544CFDC">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I</w:t>
            </w:r>
          </w:p>
        </w:tc>
        <w:tc>
          <w:tcPr>
            <w:tcW w:w="1384" w:type="dxa"/>
            <w:vAlign w:val="center"/>
          </w:tcPr>
          <w:p w14:paraId="679EF00B">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5.26</w:t>
            </w:r>
          </w:p>
        </w:tc>
        <w:tc>
          <w:tcPr>
            <w:tcW w:w="6275" w:type="dxa"/>
            <w:vAlign w:val="center"/>
          </w:tcPr>
          <w:p w14:paraId="02EC2CE0">
            <w:pPr>
              <w:pageBreakBefore w:val="0"/>
              <w:widowControl/>
              <w:kinsoku/>
              <w:overflowPunct/>
              <w:topLinePunct w:val="0"/>
              <w:bidi w:val="0"/>
              <w:spacing w:line="560" w:lineRule="exact"/>
              <w:ind w:left="0" w:leftChars="0" w:right="0" w:rightChars="0"/>
              <w:textAlignment w:val="auto"/>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城东街道、城西街道、城南街道、正阳街道、舟白街道、冯家街道。</w:t>
            </w:r>
          </w:p>
        </w:tc>
      </w:tr>
      <w:tr w14:paraId="54FB51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6" w:hRule="atLeast"/>
          <w:jc w:val="center"/>
        </w:trPr>
        <w:tc>
          <w:tcPr>
            <w:tcW w:w="777" w:type="dxa"/>
            <w:vAlign w:val="center"/>
          </w:tcPr>
          <w:p w14:paraId="73D634D5">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II</w:t>
            </w:r>
          </w:p>
        </w:tc>
        <w:tc>
          <w:tcPr>
            <w:tcW w:w="1384" w:type="dxa"/>
            <w:vAlign w:val="center"/>
          </w:tcPr>
          <w:p w14:paraId="4F34C4FD">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5.03</w:t>
            </w:r>
          </w:p>
        </w:tc>
        <w:tc>
          <w:tcPr>
            <w:tcW w:w="6275" w:type="dxa"/>
            <w:vAlign w:val="center"/>
          </w:tcPr>
          <w:p w14:paraId="617F559B">
            <w:pPr>
              <w:pageBreakBefore w:val="0"/>
              <w:widowControl/>
              <w:kinsoku/>
              <w:overflowPunct/>
              <w:topLinePunct w:val="0"/>
              <w:bidi w:val="0"/>
              <w:spacing w:line="560" w:lineRule="exact"/>
              <w:ind w:left="0" w:leftChars="0" w:right="0" w:rightChars="0"/>
              <w:textAlignment w:val="auto"/>
              <w:rPr>
                <w:rFonts w:ascii="Times New Roman" w:hAnsi="Times New Roman" w:eastAsia="方正仿宋_GBK" w:cs="Times New Roman"/>
                <w:kern w:val="0"/>
                <w:sz w:val="28"/>
                <w:szCs w:val="28"/>
              </w:rPr>
            </w:pPr>
            <w:r>
              <w:rPr>
                <w:rFonts w:ascii="Times New Roman" w:hAnsi="Times New Roman" w:eastAsia="方正仿宋_GBK" w:cs="Times New Roman"/>
                <w:sz w:val="28"/>
                <w:szCs w:val="28"/>
              </w:rPr>
              <w:t>小南海镇、阿蓬江镇、石会镇、马喇镇、濯水镇、中塘镇、蓬东乡、水田乡。</w:t>
            </w:r>
          </w:p>
        </w:tc>
      </w:tr>
      <w:tr w14:paraId="595E4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0" w:hRule="atLeast"/>
          <w:jc w:val="center"/>
        </w:trPr>
        <w:tc>
          <w:tcPr>
            <w:tcW w:w="777" w:type="dxa"/>
            <w:vAlign w:val="center"/>
          </w:tcPr>
          <w:p w14:paraId="77C92772">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III</w:t>
            </w:r>
          </w:p>
        </w:tc>
        <w:tc>
          <w:tcPr>
            <w:tcW w:w="1384" w:type="dxa"/>
            <w:vAlign w:val="center"/>
          </w:tcPr>
          <w:p w14:paraId="7AE88708">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4.77</w:t>
            </w:r>
          </w:p>
        </w:tc>
        <w:tc>
          <w:tcPr>
            <w:tcW w:w="6275" w:type="dxa"/>
            <w:vAlign w:val="center"/>
          </w:tcPr>
          <w:p w14:paraId="52E426DE">
            <w:pPr>
              <w:pageBreakBefore w:val="0"/>
              <w:widowControl/>
              <w:kinsoku/>
              <w:overflowPunct/>
              <w:topLinePunct w:val="0"/>
              <w:bidi w:val="0"/>
              <w:spacing w:line="560" w:lineRule="exact"/>
              <w:ind w:left="0" w:leftChars="0" w:right="0" w:rightChars="0"/>
              <w:textAlignment w:val="auto"/>
              <w:rPr>
                <w:rFonts w:ascii="Times New Roman" w:hAnsi="Times New Roman" w:eastAsia="方正仿宋_GBK" w:cs="Times New Roman"/>
                <w:sz w:val="28"/>
                <w:szCs w:val="28"/>
              </w:rPr>
            </w:pPr>
            <w:r>
              <w:rPr>
                <w:rFonts w:ascii="Times New Roman" w:hAnsi="Times New Roman" w:eastAsia="方正仿宋_GBK" w:cs="Times New Roman"/>
                <w:sz w:val="28"/>
                <w:szCs w:val="28"/>
              </w:rPr>
              <w:t>邻鄂镇、黑溪镇、黄溪镇、黎水镇、金溪镇、石家镇、鹅池镇、沙坝镇、白石镇、杉岭乡、太极乡、白土乡、金洞乡、五里乡、水市乡、新华乡。</w:t>
            </w:r>
          </w:p>
        </w:tc>
      </w:tr>
    </w:tbl>
    <w:p w14:paraId="0963246C">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0F37233A">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5C896834">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1018788A">
      <w:pPr>
        <w:pStyle w:val="13"/>
        <w:pageBreakBefore w:val="0"/>
        <w:kinsoku/>
        <w:overflowPunct/>
        <w:topLinePunct w:val="0"/>
        <w:bidi w:val="0"/>
        <w:spacing w:line="560" w:lineRule="exact"/>
        <w:ind w:left="0" w:leftChars="0" w:right="0" w:rightChars="0"/>
        <w:textAlignment w:val="auto"/>
        <w:rPr>
          <w:rFonts w:ascii="Times New Roman" w:hAnsi="Times New Roman" w:cs="Times New Roman"/>
        </w:rPr>
      </w:pPr>
    </w:p>
    <w:p w14:paraId="478C2155">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423893AB">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6D880E7A">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35E6AD62">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p>
    <w:p w14:paraId="17A80E31">
      <w:pPr>
        <w:pageBreakBefore w:val="0"/>
        <w:kinsoku/>
        <w:overflowPunct/>
        <w:topLinePunct w:val="0"/>
        <w:bidi w:val="0"/>
        <w:adjustRightInd w:val="0"/>
        <w:snapToGrid w:val="0"/>
        <w:spacing w:line="560" w:lineRule="exact"/>
        <w:ind w:left="0" w:leftChars="0" w:right="0" w:rightChars="0"/>
        <w:textAlignment w:val="auto"/>
        <w:rPr>
          <w:rFonts w:ascii="Times New Roman" w:hAnsi="Times New Roman" w:eastAsia="方正黑体_GBK" w:cs="Times New Roman"/>
          <w:snapToGrid w:val="0"/>
          <w:color w:val="000000"/>
          <w:kern w:val="0"/>
          <w:sz w:val="32"/>
          <w:szCs w:val="32"/>
        </w:rPr>
      </w:pPr>
      <w:r>
        <w:rPr>
          <w:rFonts w:ascii="Times New Roman" w:hAnsi="Times New Roman" w:eastAsia="方正黑体_GBK" w:cs="Times New Roman"/>
          <w:snapToGrid w:val="0"/>
          <w:color w:val="000000"/>
          <w:kern w:val="0"/>
          <w:sz w:val="32"/>
          <w:szCs w:val="32"/>
        </w:rPr>
        <w:t>附件2</w:t>
      </w:r>
    </w:p>
    <w:p w14:paraId="3E463B6B">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小标宋_GBK" w:cs="Times New Roman"/>
          <w:color w:val="000000"/>
          <w:sz w:val="44"/>
          <w:szCs w:val="44"/>
        </w:rPr>
      </w:pPr>
      <w:r>
        <w:rPr>
          <w:rFonts w:ascii="Times New Roman" w:hAnsi="Times New Roman" w:eastAsia="方正小标宋_GBK" w:cs="Times New Roman"/>
          <w:snapToGrid w:val="0"/>
          <w:color w:val="000000"/>
          <w:kern w:val="0"/>
          <w:sz w:val="44"/>
          <w:szCs w:val="44"/>
        </w:rPr>
        <w:t>黔江区农村房屋重置价格补偿标准</w:t>
      </w:r>
    </w:p>
    <w:p w14:paraId="185CBA48">
      <w:pPr>
        <w:pageBreakBefore w:val="0"/>
        <w:widowControl/>
        <w:kinsoku/>
        <w:overflowPunct/>
        <w:topLinePunct w:val="0"/>
        <w:bidi w:val="0"/>
        <w:adjustRightInd w:val="0"/>
        <w:snapToGrid w:val="0"/>
        <w:spacing w:line="560" w:lineRule="exact"/>
        <w:ind w:left="0" w:leftChars="0" w:right="0" w:rightChars="0"/>
        <w:jc w:val="righ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单位：元/平方米</w:t>
      </w:r>
    </w:p>
    <w:tbl>
      <w:tblPr>
        <w:tblStyle w:val="9"/>
        <w:tblW w:w="9363" w:type="dxa"/>
        <w:jc w:val="center"/>
        <w:tblLayout w:type="fixed"/>
        <w:tblCellMar>
          <w:top w:w="0" w:type="dxa"/>
          <w:left w:w="0" w:type="dxa"/>
          <w:bottom w:w="0" w:type="dxa"/>
          <w:right w:w="0" w:type="dxa"/>
        </w:tblCellMar>
      </w:tblPr>
      <w:tblGrid>
        <w:gridCol w:w="1553"/>
        <w:gridCol w:w="5709"/>
        <w:gridCol w:w="2101"/>
      </w:tblGrid>
      <w:tr w14:paraId="5E0EA921">
        <w:trPr>
          <w:trHeight w:val="1067" w:hRule="exact"/>
          <w:jc w:val="center"/>
        </w:trPr>
        <w:tc>
          <w:tcPr>
            <w:tcW w:w="1553" w:type="dxa"/>
            <w:tcBorders>
              <w:top w:val="single" w:color="auto" w:sz="4" w:space="0"/>
              <w:left w:val="single" w:color="auto" w:sz="4" w:space="0"/>
              <w:right w:val="single" w:color="auto" w:sz="4" w:space="0"/>
              <w:tl2br w:val="single" w:color="auto" w:sz="4" w:space="0"/>
            </w:tcBorders>
            <w:vAlign w:val="center"/>
          </w:tcPr>
          <w:p w14:paraId="78D02843">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黑体_GBK" w:cs="Times New Roman"/>
                <w:color w:val="000000"/>
                <w:sz w:val="28"/>
                <w:szCs w:val="28"/>
              </w:rPr>
            </w:pPr>
            <w:r>
              <w:rPr>
                <w:rFonts w:ascii="Times New Roman" w:hAnsi="Times New Roman" w:eastAsia="方正黑体_GBK" w:cs="Times New Roman"/>
                <w:color w:val="000000"/>
                <w:sz w:val="28"/>
                <w:szCs w:val="28"/>
              </w:rPr>
              <w:t xml:space="preserve">   类别</w:t>
            </w:r>
          </w:p>
          <w:p w14:paraId="4EE3E8AB">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textAlignment w:val="auto"/>
              <w:rPr>
                <w:rFonts w:ascii="Times New Roman" w:hAnsi="Times New Roman" w:eastAsia="方正仿宋_GBK" w:cs="Times New Roman"/>
                <w:color w:val="000000"/>
                <w:sz w:val="28"/>
                <w:szCs w:val="28"/>
              </w:rPr>
            </w:pPr>
            <w:r>
              <w:rPr>
                <w:rFonts w:ascii="Times New Roman" w:hAnsi="Times New Roman" w:eastAsia="方正黑体_GBK" w:cs="Times New Roman"/>
                <w:color w:val="000000"/>
                <w:sz w:val="28"/>
                <w:szCs w:val="28"/>
              </w:rPr>
              <w:t>结构</w:t>
            </w:r>
          </w:p>
        </w:tc>
        <w:tc>
          <w:tcPr>
            <w:tcW w:w="5709" w:type="dxa"/>
            <w:tcBorders>
              <w:top w:val="single" w:color="auto" w:sz="4" w:space="0"/>
              <w:left w:val="nil"/>
              <w:right w:val="single" w:color="auto" w:sz="4" w:space="0"/>
            </w:tcBorders>
            <w:vAlign w:val="center"/>
          </w:tcPr>
          <w:p w14:paraId="6A6E7A51">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color w:val="000000"/>
                <w:sz w:val="28"/>
                <w:szCs w:val="28"/>
              </w:rPr>
            </w:pPr>
            <w:r>
              <w:rPr>
                <w:rFonts w:ascii="Times New Roman" w:hAnsi="Times New Roman" w:eastAsia="方正黑体_GBK" w:cs="Times New Roman"/>
                <w:color w:val="000000"/>
                <w:sz w:val="28"/>
                <w:szCs w:val="28"/>
              </w:rPr>
              <w:t>房屋结构</w:t>
            </w:r>
          </w:p>
        </w:tc>
        <w:tc>
          <w:tcPr>
            <w:tcW w:w="2101" w:type="dxa"/>
            <w:tcBorders>
              <w:top w:val="single" w:color="auto" w:sz="4" w:space="0"/>
              <w:left w:val="nil"/>
              <w:bottom w:val="single" w:color="auto" w:sz="4" w:space="0"/>
              <w:right w:val="single" w:color="auto" w:sz="4" w:space="0"/>
            </w:tcBorders>
            <w:vAlign w:val="center"/>
          </w:tcPr>
          <w:p w14:paraId="23D54A51">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黑体_GBK" w:cs="Times New Roman"/>
                <w:color w:val="000000"/>
                <w:sz w:val="28"/>
                <w:szCs w:val="28"/>
              </w:rPr>
              <w:t>补偿标准</w:t>
            </w:r>
          </w:p>
        </w:tc>
      </w:tr>
      <w:tr w14:paraId="6C01D274">
        <w:tblPrEx>
          <w:tblCellMar>
            <w:top w:w="0" w:type="dxa"/>
            <w:left w:w="0" w:type="dxa"/>
            <w:bottom w:w="0" w:type="dxa"/>
            <w:right w:w="0" w:type="dxa"/>
          </w:tblCellMar>
        </w:tblPrEx>
        <w:trPr>
          <w:trHeight w:val="743" w:hRule="exact"/>
          <w:jc w:val="center"/>
        </w:trPr>
        <w:tc>
          <w:tcPr>
            <w:tcW w:w="1553" w:type="dxa"/>
            <w:tcBorders>
              <w:top w:val="single" w:color="auto" w:sz="4" w:space="0"/>
              <w:left w:val="single" w:color="auto" w:sz="4" w:space="0"/>
              <w:bottom w:val="single" w:color="auto" w:sz="4" w:space="0"/>
              <w:right w:val="single" w:color="auto" w:sz="4" w:space="0"/>
            </w:tcBorders>
            <w:vAlign w:val="center"/>
          </w:tcPr>
          <w:p w14:paraId="322A0DE1">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钢砼结构</w:t>
            </w:r>
          </w:p>
        </w:tc>
        <w:tc>
          <w:tcPr>
            <w:tcW w:w="5709" w:type="dxa"/>
            <w:tcBorders>
              <w:top w:val="single" w:color="auto" w:sz="4" w:space="0"/>
              <w:left w:val="nil"/>
              <w:bottom w:val="single" w:color="auto" w:sz="4" w:space="0"/>
              <w:right w:val="single" w:color="auto" w:sz="4" w:space="0"/>
            </w:tcBorders>
            <w:vAlign w:val="center"/>
          </w:tcPr>
          <w:p w14:paraId="4B218863">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框架（剪力墙）现浇盖</w:t>
            </w:r>
          </w:p>
        </w:tc>
        <w:tc>
          <w:tcPr>
            <w:tcW w:w="2101" w:type="dxa"/>
            <w:tcBorders>
              <w:top w:val="single" w:color="auto" w:sz="4" w:space="0"/>
              <w:left w:val="single" w:color="auto" w:sz="4" w:space="0"/>
              <w:bottom w:val="single" w:color="auto" w:sz="4" w:space="0"/>
              <w:right w:val="single" w:color="auto" w:sz="4" w:space="0"/>
            </w:tcBorders>
            <w:vAlign w:val="center"/>
          </w:tcPr>
          <w:p w14:paraId="3DB0F5D6">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1060</w:t>
            </w:r>
          </w:p>
        </w:tc>
      </w:tr>
      <w:tr w14:paraId="2B5E3661">
        <w:tblPrEx>
          <w:tblCellMar>
            <w:top w:w="0" w:type="dxa"/>
            <w:left w:w="0" w:type="dxa"/>
            <w:bottom w:w="0" w:type="dxa"/>
            <w:right w:w="0" w:type="dxa"/>
          </w:tblCellMar>
        </w:tblPrEx>
        <w:trPr>
          <w:trHeight w:val="711" w:hRule="exact"/>
          <w:jc w:val="center"/>
        </w:trPr>
        <w:tc>
          <w:tcPr>
            <w:tcW w:w="1553" w:type="dxa"/>
            <w:tcBorders>
              <w:top w:val="single" w:color="auto" w:sz="4" w:space="0"/>
              <w:left w:val="single" w:color="auto" w:sz="4" w:space="0"/>
              <w:bottom w:val="single" w:color="auto" w:sz="4" w:space="0"/>
              <w:right w:val="single" w:color="auto" w:sz="4" w:space="0"/>
            </w:tcBorders>
            <w:vAlign w:val="center"/>
          </w:tcPr>
          <w:p w14:paraId="67B4DE41">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砖混结构</w:t>
            </w:r>
          </w:p>
        </w:tc>
        <w:tc>
          <w:tcPr>
            <w:tcW w:w="5709" w:type="dxa"/>
            <w:tcBorders>
              <w:top w:val="single" w:color="auto" w:sz="4" w:space="0"/>
              <w:left w:val="nil"/>
              <w:bottom w:val="single" w:color="auto" w:sz="4" w:space="0"/>
              <w:right w:val="single" w:color="auto" w:sz="4" w:space="0"/>
            </w:tcBorders>
            <w:vAlign w:val="center"/>
          </w:tcPr>
          <w:p w14:paraId="4909E1B0">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砖墙（条石）现浇盖（预制盖）</w:t>
            </w:r>
          </w:p>
        </w:tc>
        <w:tc>
          <w:tcPr>
            <w:tcW w:w="2101" w:type="dxa"/>
            <w:tcBorders>
              <w:top w:val="single" w:color="auto" w:sz="4" w:space="0"/>
              <w:left w:val="single" w:color="auto" w:sz="4" w:space="0"/>
              <w:bottom w:val="single" w:color="auto" w:sz="4" w:space="0"/>
              <w:right w:val="single" w:color="auto" w:sz="4" w:space="0"/>
            </w:tcBorders>
            <w:vAlign w:val="center"/>
          </w:tcPr>
          <w:p w14:paraId="6E4B185B">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860</w:t>
            </w:r>
          </w:p>
        </w:tc>
      </w:tr>
      <w:tr w14:paraId="615AFF4F">
        <w:tblPrEx>
          <w:tblCellMar>
            <w:top w:w="0" w:type="dxa"/>
            <w:left w:w="0" w:type="dxa"/>
            <w:bottom w:w="0" w:type="dxa"/>
            <w:right w:w="0" w:type="dxa"/>
          </w:tblCellMar>
        </w:tblPrEx>
        <w:trPr>
          <w:trHeight w:val="565" w:hRule="exact"/>
          <w:jc w:val="center"/>
        </w:trPr>
        <w:tc>
          <w:tcPr>
            <w:tcW w:w="1553" w:type="dxa"/>
            <w:vMerge w:val="restart"/>
            <w:tcBorders>
              <w:top w:val="single" w:color="auto" w:sz="4" w:space="0"/>
              <w:left w:val="single" w:color="auto" w:sz="4" w:space="0"/>
              <w:bottom w:val="single" w:color="auto" w:sz="4" w:space="0"/>
              <w:right w:val="single" w:color="auto" w:sz="4" w:space="0"/>
            </w:tcBorders>
            <w:vAlign w:val="center"/>
          </w:tcPr>
          <w:p w14:paraId="51B9C904">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砖木结构</w:t>
            </w:r>
          </w:p>
        </w:tc>
        <w:tc>
          <w:tcPr>
            <w:tcW w:w="5709" w:type="dxa"/>
            <w:tcBorders>
              <w:top w:val="single" w:color="auto" w:sz="4" w:space="0"/>
              <w:left w:val="nil"/>
              <w:bottom w:val="single" w:color="auto" w:sz="4" w:space="0"/>
              <w:right w:val="single" w:color="auto" w:sz="4" w:space="0"/>
            </w:tcBorders>
            <w:vAlign w:val="center"/>
          </w:tcPr>
          <w:p w14:paraId="05404757">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砖墙（木板）穿逗瓦盖</w:t>
            </w:r>
          </w:p>
        </w:tc>
        <w:tc>
          <w:tcPr>
            <w:tcW w:w="2101" w:type="dxa"/>
            <w:tcBorders>
              <w:top w:val="single" w:color="auto" w:sz="4" w:space="0"/>
              <w:left w:val="single" w:color="auto" w:sz="4" w:space="0"/>
              <w:bottom w:val="single" w:color="auto" w:sz="4" w:space="0"/>
              <w:right w:val="single" w:color="auto" w:sz="4" w:space="0"/>
            </w:tcBorders>
            <w:vAlign w:val="center"/>
          </w:tcPr>
          <w:p w14:paraId="476A95B7">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690</w:t>
            </w:r>
          </w:p>
        </w:tc>
      </w:tr>
      <w:tr w14:paraId="053D4B21">
        <w:tblPrEx>
          <w:tblCellMar>
            <w:top w:w="0" w:type="dxa"/>
            <w:left w:w="0" w:type="dxa"/>
            <w:bottom w:w="0" w:type="dxa"/>
            <w:right w:w="0" w:type="dxa"/>
          </w:tblCellMar>
        </w:tblPrEx>
        <w:trPr>
          <w:trHeight w:val="601" w:hRule="exact"/>
          <w:jc w:val="center"/>
        </w:trPr>
        <w:tc>
          <w:tcPr>
            <w:tcW w:w="1553" w:type="dxa"/>
            <w:vMerge w:val="continue"/>
            <w:tcBorders>
              <w:top w:val="single" w:color="auto" w:sz="4" w:space="0"/>
              <w:left w:val="single" w:color="auto" w:sz="4" w:space="0"/>
              <w:bottom w:val="single" w:color="auto" w:sz="4" w:space="0"/>
              <w:right w:val="single" w:color="auto" w:sz="4" w:space="0"/>
            </w:tcBorders>
            <w:vAlign w:val="center"/>
          </w:tcPr>
          <w:p w14:paraId="64AF05AB">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p>
        </w:tc>
        <w:tc>
          <w:tcPr>
            <w:tcW w:w="5709" w:type="dxa"/>
            <w:tcBorders>
              <w:top w:val="single" w:color="auto" w:sz="4" w:space="0"/>
              <w:left w:val="nil"/>
              <w:bottom w:val="single" w:color="auto" w:sz="4" w:space="0"/>
              <w:right w:val="single" w:color="auto" w:sz="4" w:space="0"/>
            </w:tcBorders>
            <w:vAlign w:val="center"/>
          </w:tcPr>
          <w:p w14:paraId="2FC67506">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砖墙（片石）瓦盖</w:t>
            </w:r>
          </w:p>
        </w:tc>
        <w:tc>
          <w:tcPr>
            <w:tcW w:w="2101" w:type="dxa"/>
            <w:tcBorders>
              <w:top w:val="single" w:color="auto" w:sz="4" w:space="0"/>
              <w:left w:val="single" w:color="auto" w:sz="4" w:space="0"/>
              <w:bottom w:val="single" w:color="auto" w:sz="4" w:space="0"/>
              <w:right w:val="single" w:color="auto" w:sz="4" w:space="0"/>
            </w:tcBorders>
            <w:vAlign w:val="center"/>
          </w:tcPr>
          <w:p w14:paraId="535E222A">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660</w:t>
            </w:r>
          </w:p>
        </w:tc>
      </w:tr>
      <w:tr w14:paraId="7AE16361">
        <w:tblPrEx>
          <w:tblCellMar>
            <w:top w:w="0" w:type="dxa"/>
            <w:left w:w="0" w:type="dxa"/>
            <w:bottom w:w="0" w:type="dxa"/>
            <w:right w:w="0" w:type="dxa"/>
          </w:tblCellMar>
        </w:tblPrEx>
        <w:trPr>
          <w:trHeight w:val="781" w:hRule="exact"/>
          <w:jc w:val="center"/>
        </w:trPr>
        <w:tc>
          <w:tcPr>
            <w:tcW w:w="1553" w:type="dxa"/>
            <w:vMerge w:val="continue"/>
            <w:tcBorders>
              <w:top w:val="single" w:color="auto" w:sz="4" w:space="0"/>
              <w:left w:val="single" w:color="auto" w:sz="4" w:space="0"/>
              <w:bottom w:val="single" w:color="auto" w:sz="4" w:space="0"/>
              <w:right w:val="single" w:color="auto" w:sz="4" w:space="0"/>
            </w:tcBorders>
            <w:vAlign w:val="center"/>
          </w:tcPr>
          <w:p w14:paraId="038CC487">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p>
        </w:tc>
        <w:tc>
          <w:tcPr>
            <w:tcW w:w="5709" w:type="dxa"/>
            <w:tcBorders>
              <w:top w:val="single" w:color="auto" w:sz="4" w:space="0"/>
              <w:left w:val="nil"/>
              <w:bottom w:val="single" w:color="auto" w:sz="4" w:space="0"/>
              <w:right w:val="single" w:color="auto" w:sz="4" w:space="0"/>
            </w:tcBorders>
            <w:vAlign w:val="center"/>
          </w:tcPr>
          <w:p w14:paraId="10A388B5">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砖墙石棉瓦盖（油毡、玻纤瓦、</w:t>
            </w:r>
            <w:r>
              <w:rPr>
                <w:rFonts w:ascii="Times New Roman" w:hAnsi="Times New Roman" w:eastAsia="方正仿宋_GBK" w:cs="Times New Roman"/>
                <w:sz w:val="28"/>
                <w:szCs w:val="28"/>
              </w:rPr>
              <w:t>彩钢瓦</w:t>
            </w:r>
            <w:r>
              <w:rPr>
                <w:rFonts w:ascii="Times New Roman" w:hAnsi="Times New Roman" w:eastAsia="方正仿宋_GBK" w:cs="Times New Roman"/>
                <w:color w:val="000000"/>
                <w:sz w:val="28"/>
                <w:szCs w:val="28"/>
              </w:rPr>
              <w:t>）</w:t>
            </w:r>
          </w:p>
        </w:tc>
        <w:tc>
          <w:tcPr>
            <w:tcW w:w="2101" w:type="dxa"/>
            <w:tcBorders>
              <w:top w:val="single" w:color="auto" w:sz="4" w:space="0"/>
              <w:left w:val="single" w:color="auto" w:sz="4" w:space="0"/>
              <w:bottom w:val="single" w:color="auto" w:sz="4" w:space="0"/>
              <w:right w:val="single" w:color="auto" w:sz="4" w:space="0"/>
            </w:tcBorders>
            <w:vAlign w:val="center"/>
          </w:tcPr>
          <w:p w14:paraId="417E5732">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580</w:t>
            </w:r>
          </w:p>
        </w:tc>
      </w:tr>
      <w:tr w14:paraId="7DB9D90D">
        <w:tblPrEx>
          <w:tblCellMar>
            <w:top w:w="0" w:type="dxa"/>
            <w:left w:w="0" w:type="dxa"/>
            <w:bottom w:w="0" w:type="dxa"/>
            <w:right w:w="0" w:type="dxa"/>
          </w:tblCellMar>
        </w:tblPrEx>
        <w:trPr>
          <w:trHeight w:val="529" w:hRule="exact"/>
          <w:jc w:val="center"/>
        </w:trPr>
        <w:tc>
          <w:tcPr>
            <w:tcW w:w="1553" w:type="dxa"/>
            <w:vMerge w:val="restart"/>
            <w:tcBorders>
              <w:top w:val="single" w:color="auto" w:sz="4" w:space="0"/>
              <w:left w:val="single" w:color="auto" w:sz="4" w:space="0"/>
              <w:bottom w:val="single" w:color="auto" w:sz="4" w:space="0"/>
              <w:right w:val="single" w:color="auto" w:sz="4" w:space="0"/>
            </w:tcBorders>
            <w:vAlign w:val="center"/>
          </w:tcPr>
          <w:p w14:paraId="5D1F7DE1">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土墙结构</w:t>
            </w:r>
          </w:p>
        </w:tc>
        <w:tc>
          <w:tcPr>
            <w:tcW w:w="5709" w:type="dxa"/>
            <w:tcBorders>
              <w:top w:val="single" w:color="auto" w:sz="4" w:space="0"/>
              <w:left w:val="nil"/>
              <w:bottom w:val="single" w:color="auto" w:sz="4" w:space="0"/>
              <w:right w:val="single" w:color="auto" w:sz="4" w:space="0"/>
            </w:tcBorders>
            <w:vAlign w:val="center"/>
          </w:tcPr>
          <w:p w14:paraId="645E0C5F">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土墙瓦盖</w:t>
            </w:r>
          </w:p>
        </w:tc>
        <w:tc>
          <w:tcPr>
            <w:tcW w:w="2101" w:type="dxa"/>
            <w:tcBorders>
              <w:top w:val="single" w:color="auto" w:sz="4" w:space="0"/>
              <w:left w:val="single" w:color="auto" w:sz="4" w:space="0"/>
              <w:bottom w:val="single" w:color="auto" w:sz="4" w:space="0"/>
              <w:right w:val="single" w:color="auto" w:sz="4" w:space="0"/>
            </w:tcBorders>
            <w:vAlign w:val="center"/>
          </w:tcPr>
          <w:p w14:paraId="3D6E555A">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400</w:t>
            </w:r>
          </w:p>
          <w:p w14:paraId="23C3E411">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p>
        </w:tc>
      </w:tr>
      <w:tr w14:paraId="5AC76F35">
        <w:tblPrEx>
          <w:tblCellMar>
            <w:top w:w="0" w:type="dxa"/>
            <w:left w:w="0" w:type="dxa"/>
            <w:bottom w:w="0" w:type="dxa"/>
            <w:right w:w="0" w:type="dxa"/>
          </w:tblCellMar>
        </w:tblPrEx>
        <w:trPr>
          <w:trHeight w:val="621" w:hRule="exact"/>
          <w:jc w:val="center"/>
        </w:trPr>
        <w:tc>
          <w:tcPr>
            <w:tcW w:w="1553" w:type="dxa"/>
            <w:vMerge w:val="continue"/>
            <w:tcBorders>
              <w:top w:val="single" w:color="auto" w:sz="4" w:space="0"/>
              <w:left w:val="single" w:color="auto" w:sz="4" w:space="0"/>
              <w:bottom w:val="single" w:color="auto" w:sz="4" w:space="0"/>
              <w:right w:val="single" w:color="auto" w:sz="4" w:space="0"/>
            </w:tcBorders>
            <w:vAlign w:val="center"/>
          </w:tcPr>
          <w:p w14:paraId="69FA83D5">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p>
        </w:tc>
        <w:tc>
          <w:tcPr>
            <w:tcW w:w="5709" w:type="dxa"/>
            <w:tcBorders>
              <w:top w:val="single" w:color="auto" w:sz="4" w:space="0"/>
              <w:left w:val="nil"/>
              <w:bottom w:val="single" w:color="auto" w:sz="4" w:space="0"/>
              <w:right w:val="single" w:color="auto" w:sz="4" w:space="0"/>
            </w:tcBorders>
            <w:vAlign w:val="center"/>
          </w:tcPr>
          <w:p w14:paraId="39E9B90C">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bCs/>
                <w:color w:val="000000"/>
                <w:sz w:val="28"/>
                <w:szCs w:val="28"/>
              </w:rPr>
              <w:t>土墙</w:t>
            </w:r>
            <w:r>
              <w:rPr>
                <w:rFonts w:ascii="Times New Roman" w:hAnsi="Times New Roman" w:eastAsia="方正仿宋_GBK" w:cs="Times New Roman"/>
                <w:color w:val="000000"/>
                <w:sz w:val="28"/>
                <w:szCs w:val="28"/>
              </w:rPr>
              <w:t>石棉瓦盖（油毡、玻纤瓦、</w:t>
            </w:r>
            <w:r>
              <w:rPr>
                <w:rFonts w:ascii="Times New Roman" w:hAnsi="Times New Roman" w:eastAsia="方正仿宋_GBK" w:cs="Times New Roman"/>
                <w:sz w:val="28"/>
                <w:szCs w:val="28"/>
              </w:rPr>
              <w:t>彩钢瓦</w:t>
            </w:r>
            <w:r>
              <w:rPr>
                <w:rFonts w:ascii="Times New Roman" w:hAnsi="Times New Roman" w:eastAsia="方正仿宋_GBK" w:cs="Times New Roman"/>
                <w:color w:val="000000"/>
                <w:sz w:val="28"/>
                <w:szCs w:val="28"/>
              </w:rPr>
              <w:t>）</w:t>
            </w:r>
          </w:p>
        </w:tc>
        <w:tc>
          <w:tcPr>
            <w:tcW w:w="2101" w:type="dxa"/>
            <w:tcBorders>
              <w:top w:val="single" w:color="auto" w:sz="4" w:space="0"/>
              <w:left w:val="single" w:color="auto" w:sz="4" w:space="0"/>
              <w:bottom w:val="single" w:color="auto" w:sz="4" w:space="0"/>
              <w:right w:val="single" w:color="auto" w:sz="4" w:space="0"/>
            </w:tcBorders>
            <w:vAlign w:val="center"/>
          </w:tcPr>
          <w:p w14:paraId="302367E8">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360</w:t>
            </w:r>
          </w:p>
          <w:p w14:paraId="6249714D">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p>
        </w:tc>
      </w:tr>
      <w:tr w14:paraId="0E43CEA3">
        <w:tblPrEx>
          <w:tblCellMar>
            <w:top w:w="0" w:type="dxa"/>
            <w:left w:w="0" w:type="dxa"/>
            <w:bottom w:w="0" w:type="dxa"/>
            <w:right w:w="0" w:type="dxa"/>
          </w:tblCellMar>
        </w:tblPrEx>
        <w:trPr>
          <w:trHeight w:val="1127" w:hRule="exact"/>
          <w:jc w:val="center"/>
        </w:trPr>
        <w:tc>
          <w:tcPr>
            <w:tcW w:w="1553" w:type="dxa"/>
            <w:vMerge w:val="restart"/>
            <w:tcBorders>
              <w:top w:val="single" w:color="auto" w:sz="4" w:space="0"/>
              <w:left w:val="single" w:color="auto" w:sz="4" w:space="0"/>
              <w:bottom w:val="single" w:color="auto" w:sz="4" w:space="0"/>
              <w:right w:val="single" w:color="auto" w:sz="4" w:space="0"/>
            </w:tcBorders>
            <w:vAlign w:val="center"/>
          </w:tcPr>
          <w:p w14:paraId="6614BBA9">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简易结构</w:t>
            </w:r>
          </w:p>
        </w:tc>
        <w:tc>
          <w:tcPr>
            <w:tcW w:w="5709" w:type="dxa"/>
            <w:tcBorders>
              <w:top w:val="single" w:color="auto" w:sz="4" w:space="0"/>
              <w:left w:val="nil"/>
              <w:bottom w:val="single" w:color="auto" w:sz="4" w:space="0"/>
              <w:right w:val="single" w:color="auto" w:sz="4" w:space="0"/>
            </w:tcBorders>
            <w:vAlign w:val="center"/>
          </w:tcPr>
          <w:p w14:paraId="3572D140">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砖柱（石柱、木柱、钢柱）石棉瓦盖（油毡、玻纤瓦、</w:t>
            </w:r>
            <w:r>
              <w:rPr>
                <w:rFonts w:ascii="Times New Roman" w:hAnsi="Times New Roman" w:eastAsia="方正仿宋_GBK" w:cs="Times New Roman"/>
                <w:bCs/>
                <w:sz w:val="28"/>
                <w:szCs w:val="28"/>
              </w:rPr>
              <w:t>彩钢瓦</w:t>
            </w:r>
            <w:r>
              <w:rPr>
                <w:rFonts w:ascii="Times New Roman" w:hAnsi="Times New Roman" w:eastAsia="方正仿宋_GBK" w:cs="Times New Roman"/>
                <w:color w:val="000000"/>
                <w:sz w:val="28"/>
                <w:szCs w:val="28"/>
              </w:rPr>
              <w:t>）</w:t>
            </w:r>
          </w:p>
        </w:tc>
        <w:tc>
          <w:tcPr>
            <w:tcW w:w="2101" w:type="dxa"/>
            <w:tcBorders>
              <w:top w:val="single" w:color="auto" w:sz="4" w:space="0"/>
              <w:left w:val="single" w:color="auto" w:sz="4" w:space="0"/>
              <w:bottom w:val="single" w:color="auto" w:sz="4" w:space="0"/>
              <w:right w:val="single" w:color="auto" w:sz="4" w:space="0"/>
            </w:tcBorders>
            <w:vAlign w:val="center"/>
          </w:tcPr>
          <w:p w14:paraId="1C17A718">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200</w:t>
            </w:r>
          </w:p>
        </w:tc>
      </w:tr>
      <w:tr w14:paraId="005EFE1B">
        <w:tblPrEx>
          <w:tblCellMar>
            <w:top w:w="0" w:type="dxa"/>
            <w:left w:w="0" w:type="dxa"/>
            <w:bottom w:w="0" w:type="dxa"/>
            <w:right w:w="0" w:type="dxa"/>
          </w:tblCellMar>
        </w:tblPrEx>
        <w:trPr>
          <w:trHeight w:val="665" w:hRule="exact"/>
          <w:jc w:val="center"/>
        </w:trPr>
        <w:tc>
          <w:tcPr>
            <w:tcW w:w="1553" w:type="dxa"/>
            <w:vMerge w:val="continue"/>
            <w:tcBorders>
              <w:top w:val="single" w:color="auto" w:sz="4" w:space="0"/>
              <w:left w:val="single" w:color="auto" w:sz="4" w:space="0"/>
              <w:bottom w:val="single" w:color="auto" w:sz="4" w:space="0"/>
              <w:right w:val="single" w:color="auto" w:sz="4" w:space="0"/>
            </w:tcBorders>
            <w:vAlign w:val="center"/>
          </w:tcPr>
          <w:p w14:paraId="33B54A8C">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p>
        </w:tc>
        <w:tc>
          <w:tcPr>
            <w:tcW w:w="5709" w:type="dxa"/>
            <w:tcBorders>
              <w:top w:val="single" w:color="auto" w:sz="4" w:space="0"/>
              <w:left w:val="nil"/>
              <w:bottom w:val="single" w:color="auto" w:sz="4" w:space="0"/>
              <w:right w:val="single" w:color="auto" w:sz="4" w:space="0"/>
            </w:tcBorders>
            <w:vAlign w:val="center"/>
          </w:tcPr>
          <w:p w14:paraId="0A4AB83A">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jc w:val="left"/>
              <w:textAlignment w:val="auto"/>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简易棚房</w:t>
            </w:r>
          </w:p>
        </w:tc>
        <w:tc>
          <w:tcPr>
            <w:tcW w:w="2101" w:type="dxa"/>
            <w:tcBorders>
              <w:top w:val="single" w:color="auto" w:sz="4" w:space="0"/>
              <w:left w:val="single" w:color="auto" w:sz="4" w:space="0"/>
              <w:bottom w:val="single" w:color="auto" w:sz="4" w:space="0"/>
              <w:right w:val="single" w:color="auto" w:sz="4" w:space="0"/>
            </w:tcBorders>
            <w:vAlign w:val="center"/>
          </w:tcPr>
          <w:p w14:paraId="34711FCA">
            <w:pPr>
              <w:keepNext w:val="0"/>
              <w:keepLines w:val="0"/>
              <w:pageBreakBefore w:val="0"/>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r>
              <w:rPr>
                <w:rFonts w:ascii="Times New Roman" w:hAnsi="Times New Roman" w:eastAsia="方正仿宋_GBK" w:cs="Times New Roman"/>
                <w:b/>
                <w:bCs/>
                <w:color w:val="000000"/>
              </w:rPr>
              <w:t>160</w:t>
            </w:r>
          </w:p>
          <w:p w14:paraId="29D99126">
            <w:pPr>
              <w:keepNext w:val="0"/>
              <w:keepLines w:val="0"/>
              <w:pageBreakBefore w:val="0"/>
              <w:kinsoku/>
              <w:wordWrap/>
              <w:overflowPunct/>
              <w:topLinePunct w:val="0"/>
              <w:autoSpaceDE/>
              <w:autoSpaceDN/>
              <w:bidi w:val="0"/>
              <w:adjustRightInd w:val="0"/>
              <w:snapToGrid w:val="0"/>
              <w:spacing w:line="300" w:lineRule="exact"/>
              <w:ind w:left="0" w:leftChars="0" w:right="0" w:rightChars="0"/>
              <w:jc w:val="center"/>
              <w:textAlignment w:val="auto"/>
              <w:rPr>
                <w:rFonts w:ascii="Times New Roman" w:hAnsi="Times New Roman" w:eastAsia="方正仿宋_GBK" w:cs="Times New Roman"/>
                <w:b/>
                <w:bCs/>
                <w:color w:val="000000"/>
              </w:rPr>
            </w:pPr>
          </w:p>
        </w:tc>
      </w:tr>
    </w:tbl>
    <w:p w14:paraId="00A23577">
      <w:pPr>
        <w:keepNext w:val="0"/>
        <w:keepLines w:val="0"/>
        <w:pageBreakBefore w:val="0"/>
        <w:kinsoku/>
        <w:wordWrap/>
        <w:overflowPunct/>
        <w:topLinePunct w:val="0"/>
        <w:autoSpaceDE/>
        <w:autoSpaceDN/>
        <w:bidi w:val="0"/>
        <w:snapToGrid w:val="0"/>
        <w:spacing w:line="300" w:lineRule="exact"/>
        <w:ind w:left="1065" w:leftChars="0" w:right="0" w:rightChars="0" w:hanging="1065" w:hangingChars="444"/>
        <w:textAlignment w:val="auto"/>
        <w:rPr>
          <w:rFonts w:ascii="Times New Roman" w:hAnsi="Times New Roman" w:eastAsia="方正仿宋_GBK" w:cs="Times New Roman"/>
          <w:sz w:val="24"/>
        </w:rPr>
      </w:pPr>
      <w:r>
        <w:rPr>
          <w:rFonts w:ascii="Times New Roman" w:hAnsi="Times New Roman" w:eastAsia="方正仿宋_GBK" w:cs="Times New Roman"/>
          <w:color w:val="000000"/>
          <w:sz w:val="24"/>
        </w:rPr>
        <w:t>说明：</w:t>
      </w:r>
      <w:r>
        <w:rPr>
          <w:rFonts w:ascii="Times New Roman" w:hAnsi="Times New Roman" w:eastAsia="方正仿宋_GBK" w:cs="Times New Roman"/>
          <w:sz w:val="24"/>
        </w:rPr>
        <w:t>1．房屋层高在2.2米以下（不含2.2米），1.5米以上（含1.5米）的，按同类房屋标准的70%计算补偿。</w:t>
      </w:r>
    </w:p>
    <w:p w14:paraId="1C28069D">
      <w:pPr>
        <w:keepNext w:val="0"/>
        <w:keepLines w:val="0"/>
        <w:pageBreakBefore w:val="0"/>
        <w:kinsoku/>
        <w:wordWrap/>
        <w:overflowPunct/>
        <w:topLinePunct w:val="0"/>
        <w:autoSpaceDE/>
        <w:autoSpaceDN/>
        <w:bidi w:val="0"/>
        <w:snapToGrid w:val="0"/>
        <w:spacing w:line="300" w:lineRule="exact"/>
        <w:ind w:left="480" w:leftChars="0" w:right="0" w:rightChars="0" w:hanging="480" w:hangingChars="200"/>
        <w:textAlignment w:val="auto"/>
        <w:rPr>
          <w:rFonts w:ascii="Times New Roman" w:hAnsi="Times New Roman" w:eastAsia="方正仿宋_GBK" w:cs="Times New Roman"/>
          <w:sz w:val="24"/>
        </w:rPr>
      </w:pPr>
      <w:r>
        <w:rPr>
          <w:rFonts w:ascii="Times New Roman" w:hAnsi="Times New Roman" w:eastAsia="方正仿宋_GBK" w:cs="Times New Roman"/>
          <w:sz w:val="24"/>
        </w:rPr>
        <w:t>2．房屋层高在1.5米以下（不含1.5米），1米以上（含1米）的，按同类房屋标准的50%计算补偿。</w:t>
      </w:r>
    </w:p>
    <w:p w14:paraId="59578E64">
      <w:pPr>
        <w:keepNext w:val="0"/>
        <w:keepLines w:val="0"/>
        <w:pageBreakBefore w:val="0"/>
        <w:kinsoku/>
        <w:wordWrap/>
        <w:overflowPunct/>
        <w:topLinePunct w:val="0"/>
        <w:autoSpaceDE/>
        <w:autoSpaceDN/>
        <w:bidi w:val="0"/>
        <w:snapToGrid w:val="0"/>
        <w:spacing w:line="300" w:lineRule="exact"/>
        <w:ind w:left="0" w:leftChars="0" w:right="0" w:rightChars="0" w:firstLine="720" w:firstLineChars="300"/>
        <w:textAlignment w:val="auto"/>
        <w:rPr>
          <w:rFonts w:ascii="Times New Roman" w:hAnsi="Times New Roman" w:eastAsia="方正仿宋_GBK" w:cs="Times New Roman"/>
          <w:sz w:val="24"/>
        </w:rPr>
      </w:pPr>
      <w:r>
        <w:rPr>
          <w:rFonts w:ascii="Times New Roman" w:hAnsi="Times New Roman" w:eastAsia="方正仿宋_GBK" w:cs="Times New Roman"/>
          <w:sz w:val="24"/>
        </w:rPr>
        <w:t>3．房屋层高在1米以下（不含1米）的，按同类房屋标准的20%计算补偿。</w:t>
      </w:r>
    </w:p>
    <w:p w14:paraId="43285AD3">
      <w:pPr>
        <w:keepNext w:val="0"/>
        <w:keepLines w:val="0"/>
        <w:pageBreakBefore w:val="0"/>
        <w:kinsoku/>
        <w:wordWrap/>
        <w:overflowPunct/>
        <w:topLinePunct w:val="0"/>
        <w:autoSpaceDE/>
        <w:autoSpaceDN/>
        <w:bidi w:val="0"/>
        <w:snapToGrid w:val="0"/>
        <w:spacing w:line="300" w:lineRule="exact"/>
        <w:ind w:left="0" w:leftChars="0" w:right="0" w:rightChars="0" w:firstLine="720" w:firstLineChars="300"/>
        <w:textAlignment w:val="auto"/>
        <w:rPr>
          <w:rFonts w:ascii="Times New Roman" w:hAnsi="Times New Roman" w:eastAsia="方正仿宋_GBK" w:cs="Times New Roman"/>
          <w:sz w:val="24"/>
        </w:rPr>
      </w:pPr>
      <w:r>
        <w:rPr>
          <w:rFonts w:ascii="Times New Roman" w:hAnsi="Times New Roman" w:eastAsia="方正仿宋_GBK" w:cs="Times New Roman"/>
          <w:sz w:val="24"/>
        </w:rPr>
        <w:t>4．外阳台按同类房屋的50%计算。</w:t>
      </w:r>
    </w:p>
    <w:p w14:paraId="66121EBF">
      <w:pPr>
        <w:keepNext w:val="0"/>
        <w:keepLines w:val="0"/>
        <w:pageBreakBefore w:val="0"/>
        <w:kinsoku/>
        <w:wordWrap/>
        <w:overflowPunct/>
        <w:topLinePunct w:val="0"/>
        <w:autoSpaceDE/>
        <w:autoSpaceDN/>
        <w:bidi w:val="0"/>
        <w:snapToGrid w:val="0"/>
        <w:spacing w:line="300" w:lineRule="exact"/>
        <w:ind w:left="0" w:leftChars="0" w:right="0" w:rightChars="0" w:firstLine="720" w:firstLineChars="300"/>
        <w:textAlignment w:val="auto"/>
        <w:rPr>
          <w:rFonts w:ascii="Times New Roman" w:hAnsi="Times New Roman" w:eastAsia="方正仿宋_GBK" w:cs="Times New Roman"/>
          <w:sz w:val="24"/>
          <w:u w:val="single"/>
        </w:rPr>
      </w:pPr>
      <w:r>
        <w:rPr>
          <w:rFonts w:ascii="Times New Roman" w:hAnsi="Times New Roman" w:eastAsia="方正仿宋_GBK" w:cs="Times New Roman"/>
          <w:sz w:val="24"/>
        </w:rPr>
        <w:t>5．房屋面积以外墙尺寸计算。</w:t>
      </w:r>
    </w:p>
    <w:p w14:paraId="6158CA46">
      <w:pPr>
        <w:pageBreakBefore w:val="0"/>
        <w:kinsoku/>
        <w:overflowPunct/>
        <w:topLinePunct w:val="0"/>
        <w:bidi w:val="0"/>
        <w:spacing w:line="460" w:lineRule="exact"/>
        <w:ind w:left="0" w:leftChars="0" w:right="0" w:rightChars="0"/>
        <w:textAlignment w:val="auto"/>
        <w:rPr>
          <w:rFonts w:ascii="Times New Roman" w:hAnsi="Times New Roman" w:eastAsia="方正小标宋_GBK" w:cs="Times New Roman"/>
          <w:snapToGrid w:val="0"/>
          <w:color w:val="000000"/>
          <w:kern w:val="0"/>
          <w:sz w:val="44"/>
          <w:szCs w:val="44"/>
        </w:rPr>
      </w:pPr>
      <w:r>
        <w:rPr>
          <w:rFonts w:ascii="Times New Roman" w:hAnsi="Times New Roman" w:eastAsia="方正黑体_GBK" w:cs="Times New Roman"/>
          <w:sz w:val="32"/>
          <w:szCs w:val="32"/>
        </w:rPr>
        <w:t>附件3</w:t>
      </w:r>
    </w:p>
    <w:p w14:paraId="571803EE">
      <w:pPr>
        <w:pageBreakBefore w:val="0"/>
        <w:kinsoku/>
        <w:overflowPunct/>
        <w:topLinePunct w:val="0"/>
        <w:bidi w:val="0"/>
        <w:spacing w:line="460" w:lineRule="exact"/>
        <w:ind w:left="0" w:leftChars="0" w:right="0" w:rightChars="0"/>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黔江区房屋装修装饰补助标准</w:t>
      </w:r>
    </w:p>
    <w:p w14:paraId="50559583">
      <w:pPr>
        <w:pageBreakBefore w:val="0"/>
        <w:kinsoku/>
        <w:overflowPunct/>
        <w:topLinePunct w:val="0"/>
        <w:bidi w:val="0"/>
        <w:spacing w:line="460" w:lineRule="exact"/>
        <w:ind w:left="0" w:leftChars="0" w:right="0" w:rightChars="0"/>
        <w:jc w:val="right"/>
        <w:textAlignment w:val="auto"/>
        <w:rPr>
          <w:rFonts w:ascii="Times New Roman" w:hAnsi="Times New Roman" w:eastAsia="方正仿宋_GBK" w:cs="Times New Roman"/>
          <w:sz w:val="28"/>
          <w:szCs w:val="28"/>
        </w:rPr>
      </w:pPr>
      <w:r>
        <w:rPr>
          <w:rFonts w:ascii="Times New Roman" w:hAnsi="Times New Roman" w:eastAsia="方正仿宋_GBK" w:cs="Times New Roman"/>
          <w:kern w:val="0"/>
          <w:sz w:val="28"/>
          <w:szCs w:val="28"/>
        </w:rPr>
        <w:t>单位：元/平</w:t>
      </w:r>
      <w:r>
        <w:rPr>
          <w:rFonts w:ascii="Times New Roman" w:hAnsi="Times New Roman" w:eastAsia="方正仿宋_GBK" w:cs="Times New Roman"/>
          <w:color w:val="000000"/>
          <w:kern w:val="0"/>
          <w:sz w:val="28"/>
          <w:szCs w:val="28"/>
        </w:rPr>
        <w:t>方米</w:t>
      </w:r>
    </w:p>
    <w:tbl>
      <w:tblPr>
        <w:tblStyle w:val="9"/>
        <w:tblW w:w="9642" w:type="dxa"/>
        <w:jc w:val="center"/>
        <w:tblLayout w:type="fixed"/>
        <w:tblCellMar>
          <w:top w:w="0" w:type="dxa"/>
          <w:left w:w="108" w:type="dxa"/>
          <w:bottom w:w="0" w:type="dxa"/>
          <w:right w:w="108" w:type="dxa"/>
        </w:tblCellMar>
      </w:tblPr>
      <w:tblGrid>
        <w:gridCol w:w="966"/>
        <w:gridCol w:w="945"/>
        <w:gridCol w:w="1465"/>
        <w:gridCol w:w="4184"/>
        <w:gridCol w:w="1344"/>
        <w:gridCol w:w="738"/>
      </w:tblGrid>
      <w:tr w14:paraId="3F6B137F">
        <w:tblPrEx>
          <w:tblCellMar>
            <w:top w:w="0" w:type="dxa"/>
            <w:left w:w="108" w:type="dxa"/>
            <w:bottom w:w="0" w:type="dxa"/>
            <w:right w:w="108" w:type="dxa"/>
          </w:tblCellMar>
        </w:tblPrEx>
        <w:trPr>
          <w:trHeight w:val="90" w:hRule="atLeast"/>
          <w:jc w:val="center"/>
        </w:trPr>
        <w:tc>
          <w:tcPr>
            <w:tcW w:w="966" w:type="dxa"/>
            <w:tcBorders>
              <w:top w:val="single" w:color="000000" w:sz="4" w:space="0"/>
              <w:left w:val="single" w:color="000000" w:sz="4" w:space="0"/>
              <w:bottom w:val="single" w:color="000000" w:sz="4" w:space="0"/>
              <w:right w:val="single" w:color="000000" w:sz="4" w:space="0"/>
            </w:tcBorders>
            <w:vAlign w:val="center"/>
          </w:tcPr>
          <w:p w14:paraId="0CF22C4B">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黑体_GBK" w:cs="Times New Roman"/>
                <w:color w:val="000000"/>
                <w:kern w:val="0"/>
                <w:sz w:val="28"/>
                <w:szCs w:val="28"/>
              </w:rPr>
            </w:pPr>
            <w:r>
              <w:rPr>
                <w:rFonts w:ascii="Times New Roman" w:hAnsi="Times New Roman" w:eastAsia="方正黑体_GBK" w:cs="Times New Roman"/>
                <w:color w:val="000000"/>
                <w:kern w:val="0"/>
                <w:sz w:val="28"/>
                <w:szCs w:val="28"/>
              </w:rPr>
              <w:t>类别</w:t>
            </w:r>
          </w:p>
        </w:tc>
        <w:tc>
          <w:tcPr>
            <w:tcW w:w="945" w:type="dxa"/>
            <w:tcBorders>
              <w:top w:val="single" w:color="000000" w:sz="4" w:space="0"/>
              <w:left w:val="single" w:color="000000" w:sz="4" w:space="0"/>
              <w:bottom w:val="single" w:color="000000" w:sz="4" w:space="0"/>
              <w:right w:val="single" w:color="000000" w:sz="4" w:space="0"/>
            </w:tcBorders>
            <w:vAlign w:val="center"/>
          </w:tcPr>
          <w:p w14:paraId="537A8249">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黑体_GBK" w:cs="Times New Roman"/>
                <w:color w:val="000000"/>
                <w:kern w:val="0"/>
                <w:sz w:val="28"/>
                <w:szCs w:val="28"/>
              </w:rPr>
            </w:pPr>
            <w:r>
              <w:rPr>
                <w:rFonts w:ascii="Times New Roman" w:hAnsi="Times New Roman" w:eastAsia="方正黑体_GBK" w:cs="Times New Roman"/>
                <w:color w:val="000000"/>
                <w:kern w:val="0"/>
                <w:sz w:val="28"/>
                <w:szCs w:val="28"/>
              </w:rPr>
              <w:t>房屋结构</w:t>
            </w:r>
          </w:p>
        </w:tc>
        <w:tc>
          <w:tcPr>
            <w:tcW w:w="1465" w:type="dxa"/>
            <w:tcBorders>
              <w:top w:val="single" w:color="000000" w:sz="4" w:space="0"/>
              <w:left w:val="single" w:color="000000" w:sz="4" w:space="0"/>
              <w:bottom w:val="single" w:color="000000" w:sz="4" w:space="0"/>
              <w:right w:val="single" w:color="000000" w:sz="4" w:space="0"/>
            </w:tcBorders>
            <w:vAlign w:val="center"/>
          </w:tcPr>
          <w:p w14:paraId="35B316FA">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黑体_GBK" w:cs="Times New Roman"/>
                <w:color w:val="000000"/>
                <w:kern w:val="0"/>
                <w:sz w:val="28"/>
                <w:szCs w:val="28"/>
              </w:rPr>
            </w:pPr>
            <w:r>
              <w:rPr>
                <w:rFonts w:ascii="Times New Roman" w:hAnsi="Times New Roman" w:eastAsia="方正黑体_GBK" w:cs="Times New Roman"/>
                <w:color w:val="000000"/>
                <w:kern w:val="0"/>
                <w:sz w:val="28"/>
                <w:szCs w:val="28"/>
              </w:rPr>
              <w:t>装修档次</w:t>
            </w:r>
          </w:p>
        </w:tc>
        <w:tc>
          <w:tcPr>
            <w:tcW w:w="4184" w:type="dxa"/>
            <w:tcBorders>
              <w:top w:val="single" w:color="000000" w:sz="4" w:space="0"/>
              <w:left w:val="single" w:color="000000" w:sz="4" w:space="0"/>
              <w:bottom w:val="single" w:color="000000" w:sz="4" w:space="0"/>
              <w:right w:val="single" w:color="000000" w:sz="4" w:space="0"/>
            </w:tcBorders>
            <w:vAlign w:val="center"/>
          </w:tcPr>
          <w:p w14:paraId="72875455">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黑体_GBK" w:cs="Times New Roman"/>
                <w:color w:val="000000"/>
                <w:kern w:val="0"/>
                <w:sz w:val="28"/>
                <w:szCs w:val="28"/>
              </w:rPr>
            </w:pPr>
            <w:r>
              <w:rPr>
                <w:rFonts w:ascii="Times New Roman" w:hAnsi="Times New Roman" w:eastAsia="方正黑体_GBK" w:cs="Times New Roman"/>
                <w:color w:val="000000"/>
                <w:kern w:val="0"/>
                <w:sz w:val="28"/>
                <w:szCs w:val="28"/>
              </w:rPr>
              <w:t>装饰装修内容</w:t>
            </w:r>
          </w:p>
        </w:tc>
        <w:tc>
          <w:tcPr>
            <w:tcW w:w="1344" w:type="dxa"/>
            <w:tcBorders>
              <w:top w:val="single" w:color="000000" w:sz="4" w:space="0"/>
              <w:left w:val="single" w:color="000000" w:sz="4" w:space="0"/>
              <w:bottom w:val="single" w:color="000000" w:sz="4" w:space="0"/>
              <w:right w:val="single" w:color="000000" w:sz="4" w:space="0"/>
            </w:tcBorders>
            <w:vAlign w:val="center"/>
          </w:tcPr>
          <w:p w14:paraId="230A8F71">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黑体_GBK" w:cs="Times New Roman"/>
                <w:color w:val="000000"/>
                <w:kern w:val="0"/>
                <w:sz w:val="28"/>
                <w:szCs w:val="28"/>
              </w:rPr>
            </w:pPr>
            <w:r>
              <w:rPr>
                <w:rFonts w:ascii="Times New Roman" w:hAnsi="Times New Roman" w:eastAsia="方正黑体_GBK" w:cs="Times New Roman"/>
                <w:color w:val="000000"/>
                <w:kern w:val="0"/>
                <w:sz w:val="28"/>
                <w:szCs w:val="28"/>
              </w:rPr>
              <w:t>补助标准</w:t>
            </w:r>
          </w:p>
        </w:tc>
        <w:tc>
          <w:tcPr>
            <w:tcW w:w="738" w:type="dxa"/>
            <w:tcBorders>
              <w:top w:val="single" w:color="000000" w:sz="4" w:space="0"/>
              <w:left w:val="single" w:color="000000" w:sz="4" w:space="0"/>
              <w:bottom w:val="single" w:color="000000" w:sz="4" w:space="0"/>
              <w:right w:val="single" w:color="000000" w:sz="4" w:space="0"/>
            </w:tcBorders>
            <w:vAlign w:val="center"/>
          </w:tcPr>
          <w:p w14:paraId="22E51BE9">
            <w:pPr>
              <w:keepNext w:val="0"/>
              <w:keepLines w:val="0"/>
              <w:pageBreakBefore w:val="0"/>
              <w:widowControl/>
              <w:kinsoku/>
              <w:wordWrap/>
              <w:overflowPunct/>
              <w:topLinePunct w:val="0"/>
              <w:autoSpaceDE/>
              <w:autoSpaceDN/>
              <w:bidi w:val="0"/>
              <w:adjustRightInd/>
              <w:spacing w:line="400" w:lineRule="exact"/>
              <w:ind w:left="0" w:leftChars="0" w:right="0" w:rightChars="0"/>
              <w:jc w:val="center"/>
              <w:textAlignment w:val="auto"/>
              <w:rPr>
                <w:rFonts w:ascii="Times New Roman" w:hAnsi="Times New Roman" w:eastAsia="方正黑体_GBK" w:cs="Times New Roman"/>
                <w:color w:val="000000"/>
                <w:kern w:val="0"/>
                <w:sz w:val="28"/>
                <w:szCs w:val="28"/>
              </w:rPr>
            </w:pPr>
            <w:r>
              <w:rPr>
                <w:rFonts w:ascii="Times New Roman" w:hAnsi="Times New Roman" w:eastAsia="方正黑体_GBK" w:cs="Times New Roman"/>
                <w:color w:val="000000"/>
                <w:kern w:val="0"/>
                <w:sz w:val="28"/>
                <w:szCs w:val="28"/>
              </w:rPr>
              <w:t>备注</w:t>
            </w:r>
          </w:p>
        </w:tc>
      </w:tr>
      <w:tr w14:paraId="3EF85F17">
        <w:tblPrEx>
          <w:tblCellMar>
            <w:top w:w="0" w:type="dxa"/>
            <w:left w:w="108" w:type="dxa"/>
            <w:bottom w:w="0" w:type="dxa"/>
            <w:right w:w="108" w:type="dxa"/>
          </w:tblCellMar>
        </w:tblPrEx>
        <w:trPr>
          <w:trHeight w:val="840" w:hRule="atLeast"/>
          <w:jc w:val="center"/>
        </w:trPr>
        <w:tc>
          <w:tcPr>
            <w:tcW w:w="966" w:type="dxa"/>
            <w:vMerge w:val="restart"/>
            <w:tcBorders>
              <w:top w:val="single" w:color="000000" w:sz="4" w:space="0"/>
              <w:left w:val="single" w:color="000000" w:sz="4" w:space="0"/>
              <w:bottom w:val="single" w:color="000000" w:sz="4" w:space="0"/>
              <w:right w:val="single" w:color="000000" w:sz="4" w:space="0"/>
            </w:tcBorders>
            <w:vAlign w:val="center"/>
          </w:tcPr>
          <w:p w14:paraId="25C83F42">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室内装饰装修</w:t>
            </w:r>
          </w:p>
        </w:tc>
        <w:tc>
          <w:tcPr>
            <w:tcW w:w="945" w:type="dxa"/>
            <w:tcBorders>
              <w:top w:val="single" w:color="000000" w:sz="4" w:space="0"/>
              <w:left w:val="single" w:color="000000" w:sz="4" w:space="0"/>
              <w:bottom w:val="single" w:color="000000" w:sz="4" w:space="0"/>
              <w:right w:val="single" w:color="000000" w:sz="4" w:space="0"/>
            </w:tcBorders>
            <w:vAlign w:val="center"/>
          </w:tcPr>
          <w:p w14:paraId="2FEFFB39">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土墙结构</w:t>
            </w:r>
          </w:p>
        </w:tc>
        <w:tc>
          <w:tcPr>
            <w:tcW w:w="1465" w:type="dxa"/>
            <w:tcBorders>
              <w:top w:val="single" w:color="000000" w:sz="4" w:space="0"/>
              <w:left w:val="single" w:color="000000" w:sz="4" w:space="0"/>
              <w:bottom w:val="single" w:color="000000" w:sz="4" w:space="0"/>
              <w:right w:val="single" w:color="000000" w:sz="4" w:space="0"/>
            </w:tcBorders>
            <w:vAlign w:val="center"/>
          </w:tcPr>
          <w:p w14:paraId="7E83ED88">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室内设施补助</w:t>
            </w:r>
          </w:p>
        </w:tc>
        <w:tc>
          <w:tcPr>
            <w:tcW w:w="4184" w:type="dxa"/>
            <w:tcBorders>
              <w:top w:val="single" w:color="000000" w:sz="4" w:space="0"/>
              <w:left w:val="single" w:color="000000" w:sz="4" w:space="0"/>
              <w:bottom w:val="single" w:color="000000" w:sz="4" w:space="0"/>
              <w:right w:val="single" w:color="000000" w:sz="4" w:space="0"/>
            </w:tcBorders>
            <w:vAlign w:val="center"/>
          </w:tcPr>
          <w:p w14:paraId="377974E5">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门、窗，水缸、水电气管线、粪池、牲畜圈舍等</w:t>
            </w:r>
          </w:p>
        </w:tc>
        <w:tc>
          <w:tcPr>
            <w:tcW w:w="1344" w:type="dxa"/>
            <w:tcBorders>
              <w:top w:val="single" w:color="000000" w:sz="4" w:space="0"/>
              <w:left w:val="single" w:color="000000" w:sz="4" w:space="0"/>
              <w:bottom w:val="single" w:color="000000" w:sz="4" w:space="0"/>
              <w:right w:val="single" w:color="000000" w:sz="4" w:space="0"/>
            </w:tcBorders>
            <w:vAlign w:val="center"/>
          </w:tcPr>
          <w:p w14:paraId="54C47F4E">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100</w:t>
            </w:r>
          </w:p>
        </w:tc>
        <w:tc>
          <w:tcPr>
            <w:tcW w:w="738" w:type="dxa"/>
            <w:tcBorders>
              <w:top w:val="single" w:color="000000" w:sz="4" w:space="0"/>
              <w:left w:val="single" w:color="000000" w:sz="4" w:space="0"/>
              <w:bottom w:val="single" w:color="000000" w:sz="4" w:space="0"/>
              <w:right w:val="single" w:color="000000" w:sz="4" w:space="0"/>
            </w:tcBorders>
            <w:vAlign w:val="center"/>
          </w:tcPr>
          <w:p w14:paraId="4521F0BA">
            <w:pPr>
              <w:keepNext w:val="0"/>
              <w:keepLines w:val="0"/>
              <w:pageBreakBefore w:val="0"/>
              <w:widowControl/>
              <w:kinsoku/>
              <w:wordWrap/>
              <w:overflowPunct/>
              <w:topLinePunct w:val="0"/>
              <w:autoSpaceDE/>
              <w:autoSpaceDN/>
              <w:bidi w:val="0"/>
              <w:adjustRightInd/>
              <w:spacing w:line="400" w:lineRule="exact"/>
              <w:ind w:left="0" w:leftChars="0" w:right="0" w:rightChars="0"/>
              <w:jc w:val="center"/>
              <w:textAlignment w:val="auto"/>
              <w:rPr>
                <w:rFonts w:ascii="Times New Roman" w:hAnsi="Times New Roman" w:eastAsia="方正仿宋_GBK" w:cs="Times New Roman"/>
                <w:color w:val="000000"/>
                <w:kern w:val="0"/>
                <w:sz w:val="24"/>
              </w:rPr>
            </w:pPr>
          </w:p>
        </w:tc>
      </w:tr>
      <w:tr w14:paraId="65BE5795">
        <w:tblPrEx>
          <w:tblCellMar>
            <w:top w:w="0" w:type="dxa"/>
            <w:left w:w="108" w:type="dxa"/>
            <w:bottom w:w="0" w:type="dxa"/>
            <w:right w:w="108" w:type="dxa"/>
          </w:tblCellMar>
        </w:tblPrEx>
        <w:trPr>
          <w:trHeight w:val="1098" w:hRule="atLeast"/>
          <w:jc w:val="center"/>
        </w:trPr>
        <w:tc>
          <w:tcPr>
            <w:tcW w:w="966" w:type="dxa"/>
            <w:vMerge w:val="continue"/>
            <w:tcBorders>
              <w:top w:val="single" w:color="000000" w:sz="4" w:space="0"/>
              <w:left w:val="single" w:color="000000" w:sz="4" w:space="0"/>
              <w:bottom w:val="single" w:color="000000" w:sz="4" w:space="0"/>
              <w:right w:val="single" w:color="000000" w:sz="4" w:space="0"/>
            </w:tcBorders>
            <w:vAlign w:val="center"/>
          </w:tcPr>
          <w:p w14:paraId="3DD56BA6">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p>
        </w:tc>
        <w:tc>
          <w:tcPr>
            <w:tcW w:w="945" w:type="dxa"/>
            <w:vMerge w:val="restart"/>
            <w:tcBorders>
              <w:top w:val="single" w:color="000000" w:sz="4" w:space="0"/>
              <w:left w:val="single" w:color="000000" w:sz="4" w:space="0"/>
              <w:bottom w:val="single" w:color="000000" w:sz="4" w:space="0"/>
              <w:right w:val="single" w:color="000000" w:sz="4" w:space="0"/>
            </w:tcBorders>
            <w:vAlign w:val="center"/>
          </w:tcPr>
          <w:p w14:paraId="52C854E5">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砖墙结构（含框架）</w:t>
            </w:r>
          </w:p>
        </w:tc>
        <w:tc>
          <w:tcPr>
            <w:tcW w:w="1465" w:type="dxa"/>
            <w:tcBorders>
              <w:top w:val="single" w:color="000000" w:sz="4" w:space="0"/>
              <w:left w:val="single" w:color="000000" w:sz="4" w:space="0"/>
              <w:bottom w:val="single" w:color="000000" w:sz="4" w:space="0"/>
              <w:right w:val="single" w:color="000000" w:sz="4" w:space="0"/>
            </w:tcBorders>
            <w:vAlign w:val="center"/>
          </w:tcPr>
          <w:p w14:paraId="082F968E">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清水房</w:t>
            </w:r>
          </w:p>
        </w:tc>
        <w:tc>
          <w:tcPr>
            <w:tcW w:w="4184" w:type="dxa"/>
            <w:tcBorders>
              <w:top w:val="single" w:color="000000" w:sz="4" w:space="0"/>
              <w:left w:val="single" w:color="000000" w:sz="4" w:space="0"/>
              <w:bottom w:val="single" w:color="000000" w:sz="4" w:space="0"/>
              <w:right w:val="single" w:color="000000" w:sz="4" w:space="0"/>
            </w:tcBorders>
            <w:vAlign w:val="center"/>
          </w:tcPr>
          <w:p w14:paraId="7DAE96CC">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水电气闭路等各种设施、管道齐全，室内用水泥浆或混凝土找平，表面平整，具备基本的生活和居住条件</w:t>
            </w:r>
          </w:p>
        </w:tc>
        <w:tc>
          <w:tcPr>
            <w:tcW w:w="1344" w:type="dxa"/>
            <w:tcBorders>
              <w:top w:val="single" w:color="000000" w:sz="4" w:space="0"/>
              <w:left w:val="single" w:color="000000" w:sz="4" w:space="0"/>
              <w:bottom w:val="single" w:color="000000" w:sz="4" w:space="0"/>
              <w:right w:val="single" w:color="000000" w:sz="4" w:space="0"/>
            </w:tcBorders>
            <w:vAlign w:val="center"/>
          </w:tcPr>
          <w:p w14:paraId="45AA765F">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150</w:t>
            </w:r>
          </w:p>
        </w:tc>
        <w:tc>
          <w:tcPr>
            <w:tcW w:w="738" w:type="dxa"/>
            <w:tcBorders>
              <w:top w:val="single" w:color="000000" w:sz="4" w:space="0"/>
              <w:left w:val="single" w:color="000000" w:sz="4" w:space="0"/>
              <w:bottom w:val="single" w:color="000000" w:sz="4" w:space="0"/>
              <w:right w:val="single" w:color="000000" w:sz="4" w:space="0"/>
            </w:tcBorders>
            <w:vAlign w:val="center"/>
          </w:tcPr>
          <w:p w14:paraId="37C6B3B9">
            <w:pPr>
              <w:keepNext w:val="0"/>
              <w:keepLines w:val="0"/>
              <w:pageBreakBefore w:val="0"/>
              <w:widowControl/>
              <w:kinsoku/>
              <w:wordWrap/>
              <w:overflowPunct/>
              <w:topLinePunct w:val="0"/>
              <w:autoSpaceDE/>
              <w:autoSpaceDN/>
              <w:bidi w:val="0"/>
              <w:adjustRightInd/>
              <w:spacing w:line="400" w:lineRule="exact"/>
              <w:ind w:left="0" w:leftChars="0" w:right="0" w:rightChars="0"/>
              <w:jc w:val="center"/>
              <w:textAlignment w:val="auto"/>
              <w:rPr>
                <w:rFonts w:ascii="Times New Roman" w:hAnsi="Times New Roman" w:eastAsia="方正仿宋_GBK" w:cs="Times New Roman"/>
                <w:color w:val="000000"/>
                <w:kern w:val="0"/>
                <w:sz w:val="24"/>
              </w:rPr>
            </w:pPr>
          </w:p>
        </w:tc>
      </w:tr>
      <w:tr w14:paraId="32A4DCC1">
        <w:tblPrEx>
          <w:tblCellMar>
            <w:top w:w="0" w:type="dxa"/>
            <w:left w:w="108" w:type="dxa"/>
            <w:bottom w:w="0" w:type="dxa"/>
            <w:right w:w="108" w:type="dxa"/>
          </w:tblCellMar>
        </w:tblPrEx>
        <w:trPr>
          <w:trHeight w:val="1088" w:hRule="atLeast"/>
          <w:jc w:val="center"/>
        </w:trPr>
        <w:tc>
          <w:tcPr>
            <w:tcW w:w="966" w:type="dxa"/>
            <w:vMerge w:val="continue"/>
            <w:tcBorders>
              <w:top w:val="single" w:color="000000" w:sz="4" w:space="0"/>
              <w:left w:val="single" w:color="000000" w:sz="4" w:space="0"/>
              <w:bottom w:val="single" w:color="000000" w:sz="4" w:space="0"/>
              <w:right w:val="single" w:color="000000" w:sz="4" w:space="0"/>
            </w:tcBorders>
            <w:vAlign w:val="center"/>
          </w:tcPr>
          <w:p w14:paraId="337DD788">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p>
        </w:tc>
        <w:tc>
          <w:tcPr>
            <w:tcW w:w="945" w:type="dxa"/>
            <w:vMerge w:val="continue"/>
            <w:tcBorders>
              <w:top w:val="single" w:color="000000" w:sz="4" w:space="0"/>
              <w:left w:val="single" w:color="000000" w:sz="4" w:space="0"/>
              <w:bottom w:val="single" w:color="000000" w:sz="4" w:space="0"/>
              <w:right w:val="single" w:color="000000" w:sz="4" w:space="0"/>
            </w:tcBorders>
            <w:vAlign w:val="center"/>
          </w:tcPr>
          <w:p w14:paraId="3CDD1E7B">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p>
        </w:tc>
        <w:tc>
          <w:tcPr>
            <w:tcW w:w="1465" w:type="dxa"/>
            <w:tcBorders>
              <w:top w:val="single" w:color="000000" w:sz="4" w:space="0"/>
              <w:left w:val="single" w:color="000000" w:sz="4" w:space="0"/>
              <w:bottom w:val="single" w:color="000000" w:sz="4" w:space="0"/>
              <w:right w:val="single" w:color="000000" w:sz="4" w:space="0"/>
            </w:tcBorders>
            <w:vAlign w:val="center"/>
          </w:tcPr>
          <w:p w14:paraId="0DDE7A05">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简装房</w:t>
            </w:r>
          </w:p>
        </w:tc>
        <w:tc>
          <w:tcPr>
            <w:tcW w:w="4184" w:type="dxa"/>
            <w:tcBorders>
              <w:top w:val="single" w:color="000000" w:sz="4" w:space="0"/>
              <w:left w:val="single" w:color="000000" w:sz="4" w:space="0"/>
              <w:bottom w:val="single" w:color="000000" w:sz="4" w:space="0"/>
              <w:right w:val="single" w:color="000000" w:sz="4" w:space="0"/>
            </w:tcBorders>
            <w:vAlign w:val="center"/>
          </w:tcPr>
          <w:p w14:paraId="0C7E7176">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在清水房基础上，地板采取打磨、墙面刷漆等简单处理，厨房、卫生间、阳台部分用普通地砖处理</w:t>
            </w:r>
          </w:p>
        </w:tc>
        <w:tc>
          <w:tcPr>
            <w:tcW w:w="1344" w:type="dxa"/>
            <w:tcBorders>
              <w:top w:val="single" w:color="000000" w:sz="4" w:space="0"/>
              <w:left w:val="single" w:color="000000" w:sz="4" w:space="0"/>
              <w:bottom w:val="single" w:color="000000" w:sz="4" w:space="0"/>
              <w:right w:val="single" w:color="000000" w:sz="4" w:space="0"/>
            </w:tcBorders>
            <w:vAlign w:val="center"/>
          </w:tcPr>
          <w:p w14:paraId="1CEC6AFB">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250</w:t>
            </w:r>
          </w:p>
        </w:tc>
        <w:tc>
          <w:tcPr>
            <w:tcW w:w="738" w:type="dxa"/>
            <w:tcBorders>
              <w:top w:val="single" w:color="000000" w:sz="4" w:space="0"/>
              <w:left w:val="single" w:color="000000" w:sz="4" w:space="0"/>
              <w:bottom w:val="single" w:color="000000" w:sz="4" w:space="0"/>
              <w:right w:val="single" w:color="000000" w:sz="4" w:space="0"/>
            </w:tcBorders>
            <w:vAlign w:val="center"/>
          </w:tcPr>
          <w:p w14:paraId="7DF095BA">
            <w:pPr>
              <w:keepNext w:val="0"/>
              <w:keepLines w:val="0"/>
              <w:pageBreakBefore w:val="0"/>
              <w:widowControl/>
              <w:kinsoku/>
              <w:wordWrap/>
              <w:overflowPunct/>
              <w:topLinePunct w:val="0"/>
              <w:autoSpaceDE/>
              <w:autoSpaceDN/>
              <w:bidi w:val="0"/>
              <w:adjustRightInd/>
              <w:spacing w:line="400" w:lineRule="exact"/>
              <w:ind w:left="0" w:leftChars="0" w:right="0" w:rightChars="0"/>
              <w:jc w:val="center"/>
              <w:textAlignment w:val="auto"/>
              <w:rPr>
                <w:rFonts w:ascii="Times New Roman" w:hAnsi="Times New Roman" w:eastAsia="方正仿宋_GBK" w:cs="Times New Roman"/>
                <w:color w:val="000000"/>
                <w:kern w:val="0"/>
                <w:sz w:val="24"/>
              </w:rPr>
            </w:pPr>
          </w:p>
        </w:tc>
      </w:tr>
      <w:tr w14:paraId="175E7479">
        <w:tblPrEx>
          <w:tblCellMar>
            <w:top w:w="0" w:type="dxa"/>
            <w:left w:w="108" w:type="dxa"/>
            <w:bottom w:w="0" w:type="dxa"/>
            <w:right w:w="108" w:type="dxa"/>
          </w:tblCellMar>
        </w:tblPrEx>
        <w:trPr>
          <w:trHeight w:val="1045" w:hRule="atLeast"/>
          <w:jc w:val="center"/>
        </w:trPr>
        <w:tc>
          <w:tcPr>
            <w:tcW w:w="966" w:type="dxa"/>
            <w:vMerge w:val="continue"/>
            <w:tcBorders>
              <w:top w:val="single" w:color="000000" w:sz="4" w:space="0"/>
              <w:left w:val="single" w:color="000000" w:sz="4" w:space="0"/>
              <w:bottom w:val="single" w:color="000000" w:sz="4" w:space="0"/>
              <w:right w:val="single" w:color="000000" w:sz="4" w:space="0"/>
            </w:tcBorders>
            <w:vAlign w:val="center"/>
          </w:tcPr>
          <w:p w14:paraId="720CAA47">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p>
        </w:tc>
        <w:tc>
          <w:tcPr>
            <w:tcW w:w="945" w:type="dxa"/>
            <w:vMerge w:val="continue"/>
            <w:tcBorders>
              <w:top w:val="single" w:color="000000" w:sz="4" w:space="0"/>
              <w:left w:val="single" w:color="000000" w:sz="4" w:space="0"/>
              <w:bottom w:val="single" w:color="000000" w:sz="4" w:space="0"/>
              <w:right w:val="single" w:color="000000" w:sz="4" w:space="0"/>
            </w:tcBorders>
            <w:vAlign w:val="center"/>
          </w:tcPr>
          <w:p w14:paraId="45F03386">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p>
        </w:tc>
        <w:tc>
          <w:tcPr>
            <w:tcW w:w="1465" w:type="dxa"/>
            <w:tcBorders>
              <w:top w:val="single" w:color="000000" w:sz="4" w:space="0"/>
              <w:left w:val="single" w:color="000000" w:sz="4" w:space="0"/>
              <w:bottom w:val="single" w:color="000000" w:sz="4" w:space="0"/>
              <w:right w:val="single" w:color="000000" w:sz="4" w:space="0"/>
            </w:tcBorders>
            <w:vAlign w:val="center"/>
          </w:tcPr>
          <w:p w14:paraId="69B1AE0B">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中装房</w:t>
            </w:r>
          </w:p>
        </w:tc>
        <w:tc>
          <w:tcPr>
            <w:tcW w:w="4184" w:type="dxa"/>
            <w:tcBorders>
              <w:top w:val="single" w:color="000000" w:sz="4" w:space="0"/>
              <w:left w:val="single" w:color="000000" w:sz="4" w:space="0"/>
              <w:bottom w:val="single" w:color="000000" w:sz="4" w:space="0"/>
              <w:right w:val="single" w:color="000000" w:sz="4" w:space="0"/>
            </w:tcBorders>
            <w:vAlign w:val="center"/>
          </w:tcPr>
          <w:p w14:paraId="41E52C76">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在简装房的基础上，水电工程全部埋设隐蔽，客厅、卫生间、厨房、阳台用普通玻化砖铺设，墙体及顶面乳胶漆处理等</w:t>
            </w:r>
          </w:p>
        </w:tc>
        <w:tc>
          <w:tcPr>
            <w:tcW w:w="1344" w:type="dxa"/>
            <w:tcBorders>
              <w:top w:val="single" w:color="000000" w:sz="4" w:space="0"/>
              <w:left w:val="single" w:color="000000" w:sz="4" w:space="0"/>
              <w:bottom w:val="single" w:color="000000" w:sz="4" w:space="0"/>
              <w:right w:val="single" w:color="000000" w:sz="4" w:space="0"/>
            </w:tcBorders>
            <w:vAlign w:val="center"/>
          </w:tcPr>
          <w:p w14:paraId="2CDF5C00">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350</w:t>
            </w:r>
          </w:p>
        </w:tc>
        <w:tc>
          <w:tcPr>
            <w:tcW w:w="738" w:type="dxa"/>
            <w:tcBorders>
              <w:top w:val="single" w:color="000000" w:sz="4" w:space="0"/>
              <w:left w:val="single" w:color="000000" w:sz="4" w:space="0"/>
              <w:bottom w:val="single" w:color="000000" w:sz="4" w:space="0"/>
              <w:right w:val="single" w:color="000000" w:sz="4" w:space="0"/>
            </w:tcBorders>
            <w:vAlign w:val="center"/>
          </w:tcPr>
          <w:p w14:paraId="53689CDB">
            <w:pPr>
              <w:keepNext w:val="0"/>
              <w:keepLines w:val="0"/>
              <w:pageBreakBefore w:val="0"/>
              <w:widowControl/>
              <w:kinsoku/>
              <w:wordWrap/>
              <w:overflowPunct/>
              <w:topLinePunct w:val="0"/>
              <w:autoSpaceDE/>
              <w:autoSpaceDN/>
              <w:bidi w:val="0"/>
              <w:adjustRightInd/>
              <w:spacing w:line="400" w:lineRule="exact"/>
              <w:ind w:left="0" w:leftChars="0" w:right="0" w:rightChars="0"/>
              <w:jc w:val="center"/>
              <w:textAlignment w:val="auto"/>
              <w:rPr>
                <w:rFonts w:ascii="Times New Roman" w:hAnsi="Times New Roman" w:eastAsia="方正仿宋_GBK" w:cs="Times New Roman"/>
                <w:color w:val="000000"/>
                <w:kern w:val="0"/>
                <w:sz w:val="24"/>
              </w:rPr>
            </w:pPr>
          </w:p>
        </w:tc>
      </w:tr>
      <w:tr w14:paraId="113B466B">
        <w:tblPrEx>
          <w:tblCellMar>
            <w:top w:w="0" w:type="dxa"/>
            <w:left w:w="108" w:type="dxa"/>
            <w:bottom w:w="0" w:type="dxa"/>
            <w:right w:w="108" w:type="dxa"/>
          </w:tblCellMar>
        </w:tblPrEx>
        <w:trPr>
          <w:trHeight w:val="1965" w:hRule="atLeast"/>
          <w:jc w:val="center"/>
        </w:trPr>
        <w:tc>
          <w:tcPr>
            <w:tcW w:w="966" w:type="dxa"/>
            <w:vMerge w:val="continue"/>
            <w:tcBorders>
              <w:top w:val="single" w:color="000000" w:sz="4" w:space="0"/>
              <w:left w:val="single" w:color="000000" w:sz="4" w:space="0"/>
              <w:bottom w:val="single" w:color="000000" w:sz="4" w:space="0"/>
              <w:right w:val="single" w:color="000000" w:sz="4" w:space="0"/>
            </w:tcBorders>
            <w:vAlign w:val="center"/>
          </w:tcPr>
          <w:p w14:paraId="122713DB">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p>
        </w:tc>
        <w:tc>
          <w:tcPr>
            <w:tcW w:w="945" w:type="dxa"/>
            <w:vMerge w:val="continue"/>
            <w:tcBorders>
              <w:top w:val="single" w:color="000000" w:sz="4" w:space="0"/>
              <w:left w:val="single" w:color="000000" w:sz="4" w:space="0"/>
              <w:bottom w:val="single" w:color="000000" w:sz="4" w:space="0"/>
              <w:right w:val="single" w:color="000000" w:sz="4" w:space="0"/>
            </w:tcBorders>
            <w:vAlign w:val="center"/>
          </w:tcPr>
          <w:p w14:paraId="7BE36DDD">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p>
        </w:tc>
        <w:tc>
          <w:tcPr>
            <w:tcW w:w="1465" w:type="dxa"/>
            <w:tcBorders>
              <w:top w:val="single" w:color="000000" w:sz="4" w:space="0"/>
              <w:left w:val="single" w:color="000000" w:sz="4" w:space="0"/>
              <w:bottom w:val="single" w:color="000000" w:sz="4" w:space="0"/>
              <w:right w:val="single" w:color="000000" w:sz="4" w:space="0"/>
            </w:tcBorders>
            <w:vAlign w:val="center"/>
          </w:tcPr>
          <w:p w14:paraId="05017B10">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精装房</w:t>
            </w:r>
          </w:p>
        </w:tc>
        <w:tc>
          <w:tcPr>
            <w:tcW w:w="4184" w:type="dxa"/>
            <w:tcBorders>
              <w:top w:val="single" w:color="000000" w:sz="4" w:space="0"/>
              <w:left w:val="single" w:color="000000" w:sz="4" w:space="0"/>
              <w:bottom w:val="single" w:color="000000" w:sz="4" w:space="0"/>
              <w:right w:val="single" w:color="000000" w:sz="4" w:space="0"/>
            </w:tcBorders>
            <w:vAlign w:val="center"/>
          </w:tcPr>
          <w:p w14:paraId="1B15251E">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在中装房的基础上，厨房、卫生间等墙体地面装饰齐全，配置整体橱柜、水槽等设备，客厅、卧室屋顶面有一定的造型、效果及风格，地面采用较好玻化砖或其它装饰材料处理</w:t>
            </w:r>
          </w:p>
        </w:tc>
        <w:tc>
          <w:tcPr>
            <w:tcW w:w="1344" w:type="dxa"/>
            <w:tcBorders>
              <w:top w:val="single" w:color="000000" w:sz="4" w:space="0"/>
              <w:left w:val="single" w:color="000000" w:sz="4" w:space="0"/>
              <w:bottom w:val="single" w:color="000000" w:sz="4" w:space="0"/>
              <w:right w:val="single" w:color="000000" w:sz="4" w:space="0"/>
            </w:tcBorders>
            <w:vAlign w:val="center"/>
          </w:tcPr>
          <w:p w14:paraId="0FD6F7BF">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450</w:t>
            </w:r>
          </w:p>
        </w:tc>
        <w:tc>
          <w:tcPr>
            <w:tcW w:w="738" w:type="dxa"/>
            <w:tcBorders>
              <w:top w:val="single" w:color="000000" w:sz="4" w:space="0"/>
              <w:left w:val="single" w:color="000000" w:sz="4" w:space="0"/>
              <w:bottom w:val="single" w:color="000000" w:sz="4" w:space="0"/>
              <w:right w:val="single" w:color="000000" w:sz="4" w:space="0"/>
            </w:tcBorders>
            <w:vAlign w:val="center"/>
          </w:tcPr>
          <w:p w14:paraId="48A0F931">
            <w:pPr>
              <w:keepNext w:val="0"/>
              <w:keepLines w:val="0"/>
              <w:pageBreakBefore w:val="0"/>
              <w:widowControl/>
              <w:kinsoku/>
              <w:wordWrap/>
              <w:overflowPunct/>
              <w:topLinePunct w:val="0"/>
              <w:autoSpaceDE/>
              <w:autoSpaceDN/>
              <w:bidi w:val="0"/>
              <w:adjustRightInd/>
              <w:spacing w:line="400" w:lineRule="exact"/>
              <w:ind w:left="0" w:leftChars="0" w:right="0" w:rightChars="0"/>
              <w:jc w:val="center"/>
              <w:textAlignment w:val="auto"/>
              <w:rPr>
                <w:rFonts w:ascii="Times New Roman" w:hAnsi="Times New Roman" w:eastAsia="方正仿宋_GBK" w:cs="Times New Roman"/>
                <w:color w:val="000000"/>
                <w:kern w:val="0"/>
                <w:sz w:val="24"/>
              </w:rPr>
            </w:pPr>
          </w:p>
        </w:tc>
      </w:tr>
      <w:tr w14:paraId="319FBE84">
        <w:tblPrEx>
          <w:tblCellMar>
            <w:top w:w="0" w:type="dxa"/>
            <w:left w:w="108" w:type="dxa"/>
            <w:bottom w:w="0" w:type="dxa"/>
            <w:right w:w="108" w:type="dxa"/>
          </w:tblCellMar>
        </w:tblPrEx>
        <w:trPr>
          <w:trHeight w:val="420" w:hRule="atLeast"/>
          <w:jc w:val="center"/>
        </w:trPr>
        <w:tc>
          <w:tcPr>
            <w:tcW w:w="966" w:type="dxa"/>
            <w:vMerge w:val="restart"/>
            <w:tcBorders>
              <w:top w:val="single" w:color="000000" w:sz="4" w:space="0"/>
              <w:left w:val="single" w:color="000000" w:sz="4" w:space="0"/>
              <w:bottom w:val="single" w:color="000000" w:sz="4" w:space="0"/>
              <w:right w:val="single" w:color="000000" w:sz="4" w:space="0"/>
            </w:tcBorders>
            <w:vAlign w:val="center"/>
          </w:tcPr>
          <w:p w14:paraId="6083E503">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室外</w:t>
            </w:r>
          </w:p>
        </w:tc>
        <w:tc>
          <w:tcPr>
            <w:tcW w:w="2410" w:type="dxa"/>
            <w:gridSpan w:val="2"/>
            <w:tcBorders>
              <w:top w:val="single" w:color="000000" w:sz="4" w:space="0"/>
              <w:left w:val="single" w:color="000000" w:sz="4" w:space="0"/>
              <w:bottom w:val="single" w:color="000000" w:sz="4" w:space="0"/>
              <w:right w:val="single" w:color="000000" w:sz="4" w:space="0"/>
            </w:tcBorders>
            <w:vAlign w:val="center"/>
          </w:tcPr>
          <w:p w14:paraId="73AF8792">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瓷砖类</w:t>
            </w:r>
          </w:p>
        </w:tc>
        <w:tc>
          <w:tcPr>
            <w:tcW w:w="4184" w:type="dxa"/>
            <w:tcBorders>
              <w:top w:val="single" w:color="000000" w:sz="4" w:space="0"/>
              <w:left w:val="single" w:color="000000" w:sz="4" w:space="0"/>
              <w:bottom w:val="single" w:color="000000" w:sz="4" w:space="0"/>
              <w:right w:val="single" w:color="000000" w:sz="4" w:space="0"/>
            </w:tcBorders>
            <w:vAlign w:val="center"/>
          </w:tcPr>
          <w:p w14:paraId="39D33ACB">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房屋外墙瓷砖装饰</w:t>
            </w:r>
          </w:p>
        </w:tc>
        <w:tc>
          <w:tcPr>
            <w:tcW w:w="1344" w:type="dxa"/>
            <w:tcBorders>
              <w:top w:val="single" w:color="000000" w:sz="4" w:space="0"/>
              <w:left w:val="single" w:color="000000" w:sz="4" w:space="0"/>
              <w:bottom w:val="single" w:color="000000" w:sz="4" w:space="0"/>
              <w:right w:val="single" w:color="000000" w:sz="4" w:space="0"/>
            </w:tcBorders>
            <w:vAlign w:val="center"/>
          </w:tcPr>
          <w:p w14:paraId="04BA9F7A">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50</w:t>
            </w:r>
          </w:p>
        </w:tc>
        <w:tc>
          <w:tcPr>
            <w:tcW w:w="738" w:type="dxa"/>
            <w:tcBorders>
              <w:top w:val="single" w:color="000000" w:sz="4" w:space="0"/>
              <w:left w:val="single" w:color="000000" w:sz="4" w:space="0"/>
              <w:bottom w:val="single" w:color="000000" w:sz="4" w:space="0"/>
              <w:right w:val="single" w:color="000000" w:sz="4" w:space="0"/>
            </w:tcBorders>
            <w:vAlign w:val="center"/>
          </w:tcPr>
          <w:p w14:paraId="630CE045">
            <w:pPr>
              <w:keepNext w:val="0"/>
              <w:keepLines w:val="0"/>
              <w:pageBreakBefore w:val="0"/>
              <w:widowControl/>
              <w:kinsoku/>
              <w:wordWrap/>
              <w:overflowPunct/>
              <w:topLinePunct w:val="0"/>
              <w:autoSpaceDE/>
              <w:autoSpaceDN/>
              <w:bidi w:val="0"/>
              <w:adjustRightInd/>
              <w:spacing w:line="400" w:lineRule="exact"/>
              <w:ind w:left="0" w:leftChars="0" w:right="0" w:rightChars="0"/>
              <w:jc w:val="center"/>
              <w:textAlignment w:val="auto"/>
              <w:rPr>
                <w:rFonts w:ascii="Times New Roman" w:hAnsi="Times New Roman" w:eastAsia="方正仿宋_GBK" w:cs="Times New Roman"/>
                <w:color w:val="000000"/>
                <w:kern w:val="0"/>
                <w:sz w:val="24"/>
              </w:rPr>
            </w:pPr>
          </w:p>
        </w:tc>
      </w:tr>
      <w:tr w14:paraId="528A355A">
        <w:tblPrEx>
          <w:tblCellMar>
            <w:top w:w="0" w:type="dxa"/>
            <w:left w:w="108" w:type="dxa"/>
            <w:bottom w:w="0" w:type="dxa"/>
            <w:right w:w="108" w:type="dxa"/>
          </w:tblCellMar>
        </w:tblPrEx>
        <w:trPr>
          <w:trHeight w:val="510" w:hRule="atLeast"/>
          <w:jc w:val="center"/>
        </w:trPr>
        <w:tc>
          <w:tcPr>
            <w:tcW w:w="966" w:type="dxa"/>
            <w:vMerge w:val="continue"/>
            <w:tcBorders>
              <w:top w:val="single" w:color="000000" w:sz="4" w:space="0"/>
              <w:left w:val="single" w:color="000000" w:sz="4" w:space="0"/>
              <w:bottom w:val="single" w:color="000000" w:sz="4" w:space="0"/>
              <w:right w:val="single" w:color="000000" w:sz="4" w:space="0"/>
            </w:tcBorders>
            <w:vAlign w:val="center"/>
          </w:tcPr>
          <w:p w14:paraId="0428EAB4">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left"/>
              <w:textAlignment w:val="auto"/>
              <w:rPr>
                <w:rFonts w:ascii="Times New Roman" w:hAnsi="Times New Roman" w:eastAsia="方正仿宋_GBK" w:cs="Times New Roman"/>
                <w:color w:val="000000"/>
                <w:kern w:val="0"/>
                <w:sz w:val="24"/>
              </w:rPr>
            </w:pPr>
          </w:p>
        </w:tc>
        <w:tc>
          <w:tcPr>
            <w:tcW w:w="2410" w:type="dxa"/>
            <w:gridSpan w:val="2"/>
            <w:tcBorders>
              <w:top w:val="single" w:color="000000" w:sz="4" w:space="0"/>
              <w:left w:val="single" w:color="000000" w:sz="4" w:space="0"/>
              <w:bottom w:val="single" w:color="000000" w:sz="4" w:space="0"/>
              <w:right w:val="single" w:color="000000" w:sz="4" w:space="0"/>
            </w:tcBorders>
            <w:vAlign w:val="center"/>
          </w:tcPr>
          <w:p w14:paraId="483AB8AD">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涂料类</w:t>
            </w:r>
          </w:p>
        </w:tc>
        <w:tc>
          <w:tcPr>
            <w:tcW w:w="4184" w:type="dxa"/>
            <w:tcBorders>
              <w:top w:val="single" w:color="000000" w:sz="4" w:space="0"/>
              <w:left w:val="single" w:color="000000" w:sz="4" w:space="0"/>
              <w:bottom w:val="single" w:color="000000" w:sz="4" w:space="0"/>
              <w:right w:val="single" w:color="000000" w:sz="4" w:space="0"/>
            </w:tcBorders>
            <w:vAlign w:val="center"/>
          </w:tcPr>
          <w:p w14:paraId="11AFE24C">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房屋外墙涂料装饰</w:t>
            </w:r>
          </w:p>
        </w:tc>
        <w:tc>
          <w:tcPr>
            <w:tcW w:w="1344" w:type="dxa"/>
            <w:tcBorders>
              <w:top w:val="single" w:color="000000" w:sz="4" w:space="0"/>
              <w:left w:val="single" w:color="000000" w:sz="4" w:space="0"/>
              <w:bottom w:val="single" w:color="000000" w:sz="4" w:space="0"/>
              <w:right w:val="single" w:color="000000" w:sz="4" w:space="0"/>
            </w:tcBorders>
            <w:vAlign w:val="center"/>
          </w:tcPr>
          <w:p w14:paraId="51A5923F">
            <w:pPr>
              <w:keepNext w:val="0"/>
              <w:keepLines w:val="0"/>
              <w:pageBreakBefore w:val="0"/>
              <w:widowControl/>
              <w:kinsoku/>
              <w:wordWrap/>
              <w:overflowPunct/>
              <w:topLinePunct w:val="0"/>
              <w:autoSpaceDE/>
              <w:autoSpaceDN/>
              <w:bidi w:val="0"/>
              <w:adjustRightInd/>
              <w:snapToGrid w:val="0"/>
              <w:spacing w:line="400" w:lineRule="exact"/>
              <w:ind w:left="0" w:leftChars="0" w:right="0" w:rightChars="0"/>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30</w:t>
            </w:r>
          </w:p>
        </w:tc>
        <w:tc>
          <w:tcPr>
            <w:tcW w:w="738" w:type="dxa"/>
            <w:tcBorders>
              <w:top w:val="single" w:color="000000" w:sz="4" w:space="0"/>
              <w:left w:val="single" w:color="000000" w:sz="4" w:space="0"/>
              <w:bottom w:val="single" w:color="000000" w:sz="4" w:space="0"/>
              <w:right w:val="single" w:color="000000" w:sz="4" w:space="0"/>
            </w:tcBorders>
            <w:vAlign w:val="center"/>
          </w:tcPr>
          <w:p w14:paraId="4F8FE849">
            <w:pPr>
              <w:keepNext w:val="0"/>
              <w:keepLines w:val="0"/>
              <w:pageBreakBefore w:val="0"/>
              <w:widowControl/>
              <w:kinsoku/>
              <w:wordWrap/>
              <w:overflowPunct/>
              <w:topLinePunct w:val="0"/>
              <w:autoSpaceDE/>
              <w:autoSpaceDN/>
              <w:bidi w:val="0"/>
              <w:adjustRightInd/>
              <w:spacing w:line="400" w:lineRule="exact"/>
              <w:ind w:left="0" w:leftChars="0" w:right="0" w:rightChars="0"/>
              <w:jc w:val="center"/>
              <w:textAlignment w:val="auto"/>
              <w:rPr>
                <w:rFonts w:ascii="Times New Roman" w:hAnsi="Times New Roman" w:eastAsia="方正仿宋_GBK" w:cs="Times New Roman"/>
                <w:color w:val="000000"/>
                <w:kern w:val="0"/>
                <w:sz w:val="24"/>
              </w:rPr>
            </w:pPr>
          </w:p>
        </w:tc>
      </w:tr>
    </w:tbl>
    <w:p w14:paraId="663A03D0">
      <w:pPr>
        <w:keepNext w:val="0"/>
        <w:keepLines w:val="0"/>
        <w:pageBreakBefore w:val="0"/>
        <w:kinsoku/>
        <w:wordWrap/>
        <w:overflowPunct/>
        <w:topLinePunct w:val="0"/>
        <w:autoSpaceDE/>
        <w:autoSpaceDN/>
        <w:bidi w:val="0"/>
        <w:adjustRightInd/>
        <w:snapToGrid w:val="0"/>
        <w:spacing w:line="400" w:lineRule="exact"/>
        <w:ind w:left="1243" w:leftChars="0" w:right="0" w:rightChars="0" w:hanging="1243" w:hangingChars="444"/>
        <w:textAlignment w:val="auto"/>
        <w:rPr>
          <w:rFonts w:ascii="Times New Roman" w:hAnsi="Times New Roman" w:eastAsia="方正仿宋_GBK" w:cs="Times New Roman"/>
          <w:sz w:val="24"/>
        </w:rPr>
      </w:pPr>
      <w:r>
        <w:rPr>
          <w:rFonts w:ascii="Times New Roman" w:hAnsi="Times New Roman" w:eastAsia="方正仿宋_GBK" w:cs="Times New Roman"/>
          <w:color w:val="000000"/>
          <w:kern w:val="0"/>
          <w:sz w:val="28"/>
          <w:szCs w:val="28"/>
        </w:rPr>
        <w:t>说明：</w:t>
      </w:r>
      <w:r>
        <w:rPr>
          <w:rFonts w:ascii="Times New Roman" w:hAnsi="Times New Roman" w:eastAsia="方正仿宋_GBK" w:cs="Times New Roman"/>
          <w:sz w:val="24"/>
        </w:rPr>
        <w:t>1.室内装饰装修补助按合法建筑面积对应标准据实计算。</w:t>
      </w:r>
    </w:p>
    <w:p w14:paraId="1EEFE474">
      <w:pPr>
        <w:keepNext w:val="0"/>
        <w:keepLines w:val="0"/>
        <w:pageBreakBefore w:val="0"/>
        <w:kinsoku/>
        <w:wordWrap/>
        <w:overflowPunct/>
        <w:topLinePunct w:val="0"/>
        <w:autoSpaceDE/>
        <w:autoSpaceDN/>
        <w:bidi w:val="0"/>
        <w:adjustRightInd/>
        <w:snapToGrid w:val="0"/>
        <w:spacing w:line="400" w:lineRule="exact"/>
        <w:ind w:left="340" w:leftChars="0" w:right="0" w:rightChars="0" w:hanging="340" w:hangingChars="142"/>
        <w:textAlignment w:val="auto"/>
        <w:rPr>
          <w:rFonts w:ascii="Times New Roman" w:hAnsi="Times New Roman" w:eastAsia="方正仿宋_GBK" w:cs="Times New Roman"/>
          <w:sz w:val="24"/>
        </w:rPr>
      </w:pPr>
      <w:r>
        <w:rPr>
          <w:rFonts w:ascii="Times New Roman" w:hAnsi="Times New Roman" w:eastAsia="方正仿宋_GBK" w:cs="Times New Roman"/>
          <w:sz w:val="24"/>
        </w:rPr>
        <w:t>2.室外装饰补助以实际丈量面积为准。</w:t>
      </w:r>
    </w:p>
    <w:p w14:paraId="29EF63FB">
      <w:pPr>
        <w:pageBreakBefore w:val="0"/>
        <w:kinsoku/>
        <w:overflowPunct/>
        <w:topLinePunct w:val="0"/>
        <w:bidi w:val="0"/>
        <w:spacing w:line="460" w:lineRule="exact"/>
        <w:ind w:left="0" w:leftChars="0" w:right="0" w:rightChars="0"/>
        <w:textAlignment w:val="auto"/>
        <w:rPr>
          <w:rFonts w:ascii="Times New Roman" w:hAnsi="Times New Roman" w:eastAsia="方正黑体_GBK" w:cs="Times New Roman"/>
          <w:sz w:val="32"/>
          <w:szCs w:val="32"/>
        </w:rPr>
      </w:pPr>
    </w:p>
    <w:p w14:paraId="40AC4B20">
      <w:pPr>
        <w:pageBreakBefore w:val="0"/>
        <w:kinsoku/>
        <w:overflowPunct/>
        <w:topLinePunct w:val="0"/>
        <w:bidi w:val="0"/>
        <w:spacing w:line="440" w:lineRule="exact"/>
        <w:ind w:left="0" w:leftChars="0" w:right="0" w:rightChars="0"/>
        <w:textAlignment w:val="auto"/>
        <w:rPr>
          <w:rFonts w:ascii="Times New Roman" w:hAnsi="Times New Roman" w:eastAsia="方正黑体_GBK" w:cs="Times New Roman"/>
          <w:sz w:val="32"/>
          <w:szCs w:val="32"/>
        </w:rPr>
      </w:pPr>
    </w:p>
    <w:p w14:paraId="70B1BF3A">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黑体_GBK" w:cs="Times New Roman"/>
          <w:sz w:val="32"/>
          <w:szCs w:val="32"/>
        </w:rPr>
      </w:pPr>
      <w:r>
        <w:rPr>
          <w:rFonts w:ascii="Times New Roman" w:hAnsi="Times New Roman" w:eastAsia="方正黑体_GBK" w:cs="Times New Roman"/>
          <w:sz w:val="32"/>
          <w:szCs w:val="32"/>
        </w:rPr>
        <w:t>附件4</w:t>
      </w:r>
    </w:p>
    <w:p w14:paraId="6BCA7EDB">
      <w:pPr>
        <w:pStyle w:val="13"/>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cs="Times New Roman"/>
        </w:rPr>
      </w:pPr>
    </w:p>
    <w:p w14:paraId="20FA58D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小标宋_GBK" w:cs="Times New Roman"/>
          <w:b/>
          <w:bCs/>
          <w:sz w:val="28"/>
          <w:szCs w:val="28"/>
        </w:rPr>
      </w:pPr>
      <w:r>
        <w:rPr>
          <w:rFonts w:ascii="Times New Roman" w:hAnsi="Times New Roman" w:eastAsia="方正小标宋_GBK" w:cs="Times New Roman"/>
          <w:snapToGrid w:val="0"/>
          <w:color w:val="000000"/>
          <w:kern w:val="0"/>
          <w:sz w:val="44"/>
          <w:szCs w:val="44"/>
        </w:rPr>
        <w:t>黔江区征收土地的建（构）筑物补偿标准</w:t>
      </w:r>
    </w:p>
    <w:p w14:paraId="751AD6A3">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黑体_GBK" w:cs="Times New Roman"/>
          <w:sz w:val="32"/>
          <w:szCs w:val="32"/>
        </w:rPr>
      </w:pPr>
    </w:p>
    <w:tbl>
      <w:tblPr>
        <w:tblStyle w:val="9"/>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2150"/>
        <w:gridCol w:w="969"/>
        <w:gridCol w:w="1559"/>
        <w:gridCol w:w="2835"/>
      </w:tblGrid>
      <w:tr w14:paraId="1448A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1263" w:type="dxa"/>
            <w:vAlign w:val="center"/>
          </w:tcPr>
          <w:p w14:paraId="5A234AC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黑体_GBK" w:cs="Times New Roman"/>
                <w:sz w:val="28"/>
                <w:szCs w:val="28"/>
              </w:rPr>
            </w:pPr>
            <w:r>
              <w:rPr>
                <w:rFonts w:ascii="Times New Roman" w:hAnsi="Times New Roman" w:eastAsia="方正黑体_GBK" w:cs="Times New Roman"/>
                <w:sz w:val="28"/>
                <w:szCs w:val="28"/>
              </w:rPr>
              <w:t>名 称</w:t>
            </w:r>
          </w:p>
        </w:tc>
        <w:tc>
          <w:tcPr>
            <w:tcW w:w="2150" w:type="dxa"/>
            <w:vAlign w:val="center"/>
          </w:tcPr>
          <w:p w14:paraId="4E4575E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黑体_GBK" w:cs="Times New Roman"/>
                <w:sz w:val="28"/>
                <w:szCs w:val="28"/>
              </w:rPr>
            </w:pPr>
            <w:r>
              <w:rPr>
                <w:rFonts w:ascii="Times New Roman" w:hAnsi="Times New Roman" w:eastAsia="方正黑体_GBK" w:cs="Times New Roman"/>
                <w:sz w:val="28"/>
                <w:szCs w:val="28"/>
              </w:rPr>
              <w:t>类  别</w:t>
            </w:r>
          </w:p>
        </w:tc>
        <w:tc>
          <w:tcPr>
            <w:tcW w:w="969" w:type="dxa"/>
            <w:vAlign w:val="center"/>
          </w:tcPr>
          <w:p w14:paraId="67075D5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黑体_GBK" w:cs="Times New Roman"/>
                <w:sz w:val="28"/>
                <w:szCs w:val="28"/>
              </w:rPr>
            </w:pPr>
            <w:r>
              <w:rPr>
                <w:rFonts w:ascii="Times New Roman" w:hAnsi="Times New Roman" w:eastAsia="方正黑体_GBK" w:cs="Times New Roman"/>
                <w:sz w:val="28"/>
                <w:szCs w:val="28"/>
              </w:rPr>
              <w:t>单位</w:t>
            </w:r>
          </w:p>
        </w:tc>
        <w:tc>
          <w:tcPr>
            <w:tcW w:w="1559" w:type="dxa"/>
            <w:vAlign w:val="center"/>
          </w:tcPr>
          <w:p w14:paraId="21A875C2">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黑体_GBK" w:cs="Times New Roman"/>
                <w:sz w:val="28"/>
                <w:szCs w:val="28"/>
              </w:rPr>
            </w:pPr>
            <w:r>
              <w:rPr>
                <w:rFonts w:ascii="Times New Roman" w:hAnsi="Times New Roman" w:eastAsia="方正黑体_GBK" w:cs="Times New Roman"/>
                <w:sz w:val="28"/>
                <w:szCs w:val="28"/>
              </w:rPr>
              <w:t>补偿标准（元）</w:t>
            </w:r>
          </w:p>
        </w:tc>
        <w:tc>
          <w:tcPr>
            <w:tcW w:w="2835" w:type="dxa"/>
            <w:vAlign w:val="center"/>
          </w:tcPr>
          <w:p w14:paraId="52E32CB2">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黑体_GBK" w:cs="Times New Roman"/>
                <w:sz w:val="28"/>
                <w:szCs w:val="28"/>
              </w:rPr>
            </w:pPr>
            <w:r>
              <w:rPr>
                <w:rFonts w:ascii="Times New Roman" w:hAnsi="Times New Roman" w:eastAsia="方正黑体_GBK" w:cs="Times New Roman"/>
                <w:sz w:val="28"/>
                <w:szCs w:val="28"/>
              </w:rPr>
              <w:t>备 注</w:t>
            </w:r>
          </w:p>
        </w:tc>
      </w:tr>
      <w:tr w14:paraId="24114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63" w:type="dxa"/>
            <w:vMerge w:val="restart"/>
            <w:vAlign w:val="center"/>
          </w:tcPr>
          <w:p w14:paraId="3DAD3FE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堡坎、围墙（含鱼塘坎）</w:t>
            </w:r>
          </w:p>
        </w:tc>
        <w:tc>
          <w:tcPr>
            <w:tcW w:w="2150" w:type="dxa"/>
            <w:vAlign w:val="center"/>
          </w:tcPr>
          <w:p w14:paraId="1428230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条石</w:t>
            </w:r>
          </w:p>
        </w:tc>
        <w:tc>
          <w:tcPr>
            <w:tcW w:w="969" w:type="dxa"/>
            <w:vMerge w:val="restart"/>
            <w:vAlign w:val="center"/>
          </w:tcPr>
          <w:p w14:paraId="25ADB2A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立</w:t>
            </w:r>
          </w:p>
          <w:p w14:paraId="500E8DA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方</w:t>
            </w:r>
          </w:p>
          <w:p w14:paraId="49C6147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米</w:t>
            </w:r>
          </w:p>
        </w:tc>
        <w:tc>
          <w:tcPr>
            <w:tcW w:w="1559" w:type="dxa"/>
            <w:vAlign w:val="center"/>
          </w:tcPr>
          <w:p w14:paraId="5B81006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300</w:t>
            </w:r>
          </w:p>
        </w:tc>
        <w:tc>
          <w:tcPr>
            <w:tcW w:w="2835" w:type="dxa"/>
            <w:vMerge w:val="restart"/>
            <w:vAlign w:val="center"/>
          </w:tcPr>
          <w:p w14:paraId="643F33CD">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r>
              <w:rPr>
                <w:rFonts w:ascii="Times New Roman" w:hAnsi="Times New Roman" w:eastAsia="方正仿宋_GBK" w:cs="Times New Roman"/>
                <w:sz w:val="24"/>
              </w:rPr>
              <w:t>集体改田改土堡坎、房屋基础堡坎不予补偿。</w:t>
            </w:r>
          </w:p>
        </w:tc>
      </w:tr>
      <w:tr w14:paraId="3ADE3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263" w:type="dxa"/>
            <w:vMerge w:val="continue"/>
            <w:vAlign w:val="center"/>
          </w:tcPr>
          <w:p w14:paraId="29045E0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6AB3D90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片石</w:t>
            </w:r>
          </w:p>
        </w:tc>
        <w:tc>
          <w:tcPr>
            <w:tcW w:w="969" w:type="dxa"/>
            <w:vMerge w:val="continue"/>
            <w:vAlign w:val="center"/>
          </w:tcPr>
          <w:p w14:paraId="5926CF1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62DEA9E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240</w:t>
            </w:r>
          </w:p>
        </w:tc>
        <w:tc>
          <w:tcPr>
            <w:tcW w:w="2835" w:type="dxa"/>
            <w:vMerge w:val="continue"/>
            <w:vAlign w:val="center"/>
          </w:tcPr>
          <w:p w14:paraId="50406D3A">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419F2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263" w:type="dxa"/>
            <w:vMerge w:val="continue"/>
            <w:vAlign w:val="center"/>
          </w:tcPr>
          <w:p w14:paraId="0B7848AD">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24FC13E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砖</w:t>
            </w:r>
          </w:p>
        </w:tc>
        <w:tc>
          <w:tcPr>
            <w:tcW w:w="969" w:type="dxa"/>
            <w:vMerge w:val="continue"/>
            <w:vAlign w:val="center"/>
          </w:tcPr>
          <w:p w14:paraId="1664225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031A675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cs="Times New Roman"/>
              </w:rPr>
            </w:pPr>
            <w:r>
              <w:rPr>
                <w:rFonts w:ascii="Times New Roman" w:hAnsi="Times New Roman" w:cs="Times New Roman"/>
                <w:sz w:val="24"/>
              </w:rPr>
              <w:t>168</w:t>
            </w:r>
          </w:p>
        </w:tc>
        <w:tc>
          <w:tcPr>
            <w:tcW w:w="2835" w:type="dxa"/>
            <w:vMerge w:val="continue"/>
            <w:vAlign w:val="center"/>
          </w:tcPr>
          <w:p w14:paraId="1E78F968">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2D18D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263" w:type="dxa"/>
            <w:vMerge w:val="continue"/>
            <w:vAlign w:val="center"/>
          </w:tcPr>
          <w:p w14:paraId="2881E1C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77E5ED6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土围墙</w:t>
            </w:r>
          </w:p>
        </w:tc>
        <w:tc>
          <w:tcPr>
            <w:tcW w:w="969" w:type="dxa"/>
            <w:vMerge w:val="continue"/>
            <w:vAlign w:val="center"/>
          </w:tcPr>
          <w:p w14:paraId="0DAC95C2">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768F966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96</w:t>
            </w:r>
          </w:p>
        </w:tc>
        <w:tc>
          <w:tcPr>
            <w:tcW w:w="2835" w:type="dxa"/>
            <w:vMerge w:val="continue"/>
            <w:vAlign w:val="center"/>
          </w:tcPr>
          <w:p w14:paraId="4D9E36AB">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21925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263" w:type="dxa"/>
            <w:vMerge w:val="restart"/>
            <w:vAlign w:val="center"/>
          </w:tcPr>
          <w:p w14:paraId="7510BB2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道  路</w:t>
            </w:r>
          </w:p>
        </w:tc>
        <w:tc>
          <w:tcPr>
            <w:tcW w:w="2150" w:type="dxa"/>
            <w:vAlign w:val="center"/>
          </w:tcPr>
          <w:p w14:paraId="522E9C2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水泥路面</w:t>
            </w:r>
          </w:p>
        </w:tc>
        <w:tc>
          <w:tcPr>
            <w:tcW w:w="969" w:type="dxa"/>
            <w:vMerge w:val="restart"/>
            <w:vAlign w:val="center"/>
          </w:tcPr>
          <w:p w14:paraId="6A8C6C7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平</w:t>
            </w:r>
          </w:p>
          <w:p w14:paraId="0035DB6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方</w:t>
            </w:r>
          </w:p>
          <w:p w14:paraId="0B191C4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米</w:t>
            </w:r>
          </w:p>
        </w:tc>
        <w:tc>
          <w:tcPr>
            <w:tcW w:w="1559" w:type="dxa"/>
            <w:vAlign w:val="center"/>
          </w:tcPr>
          <w:p w14:paraId="7D637F9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180</w:t>
            </w:r>
          </w:p>
        </w:tc>
        <w:tc>
          <w:tcPr>
            <w:tcW w:w="2835" w:type="dxa"/>
            <w:vMerge w:val="restart"/>
            <w:vAlign w:val="center"/>
          </w:tcPr>
          <w:p w14:paraId="1D3255D6">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r>
              <w:rPr>
                <w:rFonts w:ascii="Times New Roman" w:hAnsi="Times New Roman" w:eastAsia="方正仿宋_GBK" w:cs="Times New Roman"/>
                <w:sz w:val="24"/>
              </w:rPr>
              <w:t>人行道路一律不予补偿。水泥路面厚度在10厘米以上按水泥路面补偿，低于10厘米按碎石泥结路面标准补偿。</w:t>
            </w:r>
          </w:p>
        </w:tc>
      </w:tr>
      <w:tr w14:paraId="6E923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263" w:type="dxa"/>
            <w:vMerge w:val="continue"/>
            <w:vAlign w:val="center"/>
          </w:tcPr>
          <w:p w14:paraId="0721E05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30759C9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碎石（含条石）泥结路面</w:t>
            </w:r>
          </w:p>
        </w:tc>
        <w:tc>
          <w:tcPr>
            <w:tcW w:w="969" w:type="dxa"/>
            <w:vMerge w:val="continue"/>
            <w:vAlign w:val="center"/>
          </w:tcPr>
          <w:p w14:paraId="648C7C7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62246257">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120</w:t>
            </w:r>
          </w:p>
        </w:tc>
        <w:tc>
          <w:tcPr>
            <w:tcW w:w="2835" w:type="dxa"/>
            <w:vMerge w:val="continue"/>
            <w:vAlign w:val="center"/>
          </w:tcPr>
          <w:p w14:paraId="4898FA48">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13C9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263" w:type="dxa"/>
            <w:vMerge w:val="continue"/>
            <w:vAlign w:val="center"/>
          </w:tcPr>
          <w:p w14:paraId="65D6A9A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4E2F0C8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简易路面（机耕道）</w:t>
            </w:r>
          </w:p>
        </w:tc>
        <w:tc>
          <w:tcPr>
            <w:tcW w:w="969" w:type="dxa"/>
            <w:vMerge w:val="continue"/>
            <w:vAlign w:val="center"/>
          </w:tcPr>
          <w:p w14:paraId="2F9BAE0D">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2A1DE067">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60</w:t>
            </w:r>
          </w:p>
        </w:tc>
        <w:tc>
          <w:tcPr>
            <w:tcW w:w="2835" w:type="dxa"/>
            <w:vMerge w:val="continue"/>
            <w:vAlign w:val="center"/>
          </w:tcPr>
          <w:p w14:paraId="535DDA27">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2AB18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263" w:type="dxa"/>
            <w:vMerge w:val="restart"/>
            <w:vAlign w:val="center"/>
          </w:tcPr>
          <w:p w14:paraId="5D28854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水  井</w:t>
            </w:r>
          </w:p>
        </w:tc>
        <w:tc>
          <w:tcPr>
            <w:tcW w:w="2150" w:type="dxa"/>
            <w:vAlign w:val="center"/>
          </w:tcPr>
          <w:p w14:paraId="6E32A13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条石</w:t>
            </w:r>
          </w:p>
        </w:tc>
        <w:tc>
          <w:tcPr>
            <w:tcW w:w="969" w:type="dxa"/>
            <w:vMerge w:val="restart"/>
          </w:tcPr>
          <w:p w14:paraId="41CB95D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立</w:t>
            </w:r>
          </w:p>
          <w:p w14:paraId="1BBB091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方</w:t>
            </w:r>
          </w:p>
          <w:p w14:paraId="5D2BB0DD">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米</w:t>
            </w:r>
          </w:p>
        </w:tc>
        <w:tc>
          <w:tcPr>
            <w:tcW w:w="1559" w:type="dxa"/>
            <w:vAlign w:val="center"/>
          </w:tcPr>
          <w:p w14:paraId="28A65E4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144</w:t>
            </w:r>
          </w:p>
        </w:tc>
        <w:tc>
          <w:tcPr>
            <w:tcW w:w="2835" w:type="dxa"/>
            <w:vMerge w:val="restart"/>
            <w:vAlign w:val="center"/>
          </w:tcPr>
          <w:p w14:paraId="20A9E3BB">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r>
              <w:rPr>
                <w:rFonts w:ascii="Times New Roman" w:hAnsi="Times New Roman" w:eastAsia="方正仿宋_GBK" w:cs="Times New Roman"/>
                <w:sz w:val="24"/>
              </w:rPr>
              <w:t>按容积计算补偿后，一律不再计算材料补偿。</w:t>
            </w:r>
          </w:p>
        </w:tc>
      </w:tr>
      <w:tr w14:paraId="681E8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63" w:type="dxa"/>
            <w:vMerge w:val="continue"/>
            <w:vAlign w:val="center"/>
          </w:tcPr>
          <w:p w14:paraId="1CEBC6D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5E81FBD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水泥</w:t>
            </w:r>
          </w:p>
        </w:tc>
        <w:tc>
          <w:tcPr>
            <w:tcW w:w="969" w:type="dxa"/>
            <w:vMerge w:val="continue"/>
          </w:tcPr>
          <w:p w14:paraId="2E6510F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6CAB74E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96</w:t>
            </w:r>
          </w:p>
        </w:tc>
        <w:tc>
          <w:tcPr>
            <w:tcW w:w="2835" w:type="dxa"/>
            <w:vMerge w:val="continue"/>
            <w:vAlign w:val="center"/>
          </w:tcPr>
          <w:p w14:paraId="5B486DB9">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503A0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3" w:type="dxa"/>
            <w:vMerge w:val="continue"/>
            <w:vAlign w:val="center"/>
          </w:tcPr>
          <w:p w14:paraId="609614A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3F1B6372">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简易</w:t>
            </w:r>
          </w:p>
        </w:tc>
        <w:tc>
          <w:tcPr>
            <w:tcW w:w="969" w:type="dxa"/>
            <w:vMerge w:val="continue"/>
          </w:tcPr>
          <w:p w14:paraId="1464434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5CB53392">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60</w:t>
            </w:r>
          </w:p>
        </w:tc>
        <w:tc>
          <w:tcPr>
            <w:tcW w:w="2835" w:type="dxa"/>
            <w:vMerge w:val="continue"/>
            <w:vAlign w:val="center"/>
          </w:tcPr>
          <w:p w14:paraId="7F1F541C">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37C47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263" w:type="dxa"/>
            <w:vMerge w:val="restart"/>
            <w:vAlign w:val="center"/>
          </w:tcPr>
          <w:p w14:paraId="57639F9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地  坝</w:t>
            </w:r>
          </w:p>
        </w:tc>
        <w:tc>
          <w:tcPr>
            <w:tcW w:w="2150" w:type="dxa"/>
            <w:vAlign w:val="center"/>
          </w:tcPr>
          <w:p w14:paraId="32E05A4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石板</w:t>
            </w:r>
          </w:p>
        </w:tc>
        <w:tc>
          <w:tcPr>
            <w:tcW w:w="969" w:type="dxa"/>
            <w:vMerge w:val="restart"/>
            <w:vAlign w:val="center"/>
          </w:tcPr>
          <w:p w14:paraId="5E1BFFF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平</w:t>
            </w:r>
          </w:p>
          <w:p w14:paraId="6D6EA4B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方</w:t>
            </w:r>
          </w:p>
          <w:p w14:paraId="2E25C6F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米</w:t>
            </w:r>
          </w:p>
        </w:tc>
        <w:tc>
          <w:tcPr>
            <w:tcW w:w="1559" w:type="dxa"/>
            <w:vAlign w:val="center"/>
          </w:tcPr>
          <w:p w14:paraId="67663CA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48</w:t>
            </w:r>
          </w:p>
        </w:tc>
        <w:tc>
          <w:tcPr>
            <w:tcW w:w="2835" w:type="dxa"/>
            <w:vMerge w:val="restart"/>
            <w:vAlign w:val="center"/>
          </w:tcPr>
          <w:p w14:paraId="1C04DF59">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r>
              <w:rPr>
                <w:rFonts w:ascii="Times New Roman" w:hAnsi="Times New Roman" w:eastAsia="方正仿宋_GBK" w:cs="Times New Roman"/>
                <w:sz w:val="24"/>
              </w:rPr>
              <w:t>指正规成形的晒坝或院坝，非正规不成形的零星小块弃平地，不论是三合土地面或土质地面等，一律不计算补偿。</w:t>
            </w:r>
          </w:p>
        </w:tc>
      </w:tr>
      <w:tr w14:paraId="46AA3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263" w:type="dxa"/>
            <w:vMerge w:val="continue"/>
            <w:vAlign w:val="center"/>
          </w:tcPr>
          <w:p w14:paraId="4F4D722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7343A15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水泥</w:t>
            </w:r>
          </w:p>
        </w:tc>
        <w:tc>
          <w:tcPr>
            <w:tcW w:w="969" w:type="dxa"/>
            <w:vMerge w:val="continue"/>
            <w:vAlign w:val="center"/>
          </w:tcPr>
          <w:p w14:paraId="13B08A4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110D9B5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72</w:t>
            </w:r>
          </w:p>
        </w:tc>
        <w:tc>
          <w:tcPr>
            <w:tcW w:w="2835" w:type="dxa"/>
            <w:vMerge w:val="continue"/>
            <w:vAlign w:val="center"/>
          </w:tcPr>
          <w:p w14:paraId="32E4A357">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4EEF5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263" w:type="dxa"/>
            <w:vMerge w:val="continue"/>
            <w:vAlign w:val="center"/>
          </w:tcPr>
          <w:p w14:paraId="7A95E23D">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03E74E4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三合土</w:t>
            </w:r>
          </w:p>
        </w:tc>
        <w:tc>
          <w:tcPr>
            <w:tcW w:w="969" w:type="dxa"/>
            <w:vMerge w:val="continue"/>
            <w:vAlign w:val="center"/>
          </w:tcPr>
          <w:p w14:paraId="7B4F904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4C216E5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36</w:t>
            </w:r>
          </w:p>
        </w:tc>
        <w:tc>
          <w:tcPr>
            <w:tcW w:w="2835" w:type="dxa"/>
            <w:vMerge w:val="continue"/>
            <w:vAlign w:val="center"/>
          </w:tcPr>
          <w:p w14:paraId="7A3A0662">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0EA9F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3" w:type="dxa"/>
            <w:vMerge w:val="continue"/>
            <w:vAlign w:val="center"/>
          </w:tcPr>
          <w:p w14:paraId="632FA6A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6F7197E1">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土</w:t>
            </w:r>
          </w:p>
        </w:tc>
        <w:tc>
          <w:tcPr>
            <w:tcW w:w="969" w:type="dxa"/>
            <w:vMerge w:val="continue"/>
            <w:vAlign w:val="center"/>
          </w:tcPr>
          <w:p w14:paraId="21EFFBD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30054C1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18</w:t>
            </w:r>
          </w:p>
        </w:tc>
        <w:tc>
          <w:tcPr>
            <w:tcW w:w="2835" w:type="dxa"/>
            <w:vMerge w:val="continue"/>
            <w:vAlign w:val="center"/>
          </w:tcPr>
          <w:p w14:paraId="332963DD">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7BF4D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263" w:type="dxa"/>
            <w:vMerge w:val="restart"/>
            <w:vAlign w:val="center"/>
          </w:tcPr>
          <w:p w14:paraId="14DFB4B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粪  池</w:t>
            </w:r>
          </w:p>
          <w:p w14:paraId="4B8CEC0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贮水池</w:t>
            </w:r>
          </w:p>
        </w:tc>
        <w:tc>
          <w:tcPr>
            <w:tcW w:w="2150" w:type="dxa"/>
            <w:vAlign w:val="center"/>
          </w:tcPr>
          <w:p w14:paraId="7BDB3F9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条石</w:t>
            </w:r>
          </w:p>
        </w:tc>
        <w:tc>
          <w:tcPr>
            <w:tcW w:w="969" w:type="dxa"/>
            <w:vMerge w:val="restart"/>
            <w:vAlign w:val="center"/>
          </w:tcPr>
          <w:p w14:paraId="0208B22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立</w:t>
            </w:r>
          </w:p>
          <w:p w14:paraId="4594831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方</w:t>
            </w:r>
          </w:p>
          <w:p w14:paraId="5261A78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米</w:t>
            </w:r>
          </w:p>
        </w:tc>
        <w:tc>
          <w:tcPr>
            <w:tcW w:w="1559" w:type="dxa"/>
            <w:vAlign w:val="center"/>
          </w:tcPr>
          <w:p w14:paraId="06F8760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144</w:t>
            </w:r>
          </w:p>
        </w:tc>
        <w:tc>
          <w:tcPr>
            <w:tcW w:w="2835" w:type="dxa"/>
            <w:vMerge w:val="restart"/>
            <w:vAlign w:val="center"/>
          </w:tcPr>
          <w:p w14:paraId="69D80FDB">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r>
              <w:rPr>
                <w:rFonts w:ascii="Times New Roman" w:hAnsi="Times New Roman" w:eastAsia="方正仿宋_GBK" w:cs="Times New Roman"/>
                <w:sz w:val="24"/>
              </w:rPr>
              <w:t>农民自建室内粪坑和燕窝形粪坑一律不予补偿。已按标准补偿的粪池、贮水池，其材料费不再补偿。</w:t>
            </w:r>
          </w:p>
        </w:tc>
      </w:tr>
      <w:tr w14:paraId="28722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263" w:type="dxa"/>
            <w:vMerge w:val="continue"/>
            <w:vAlign w:val="center"/>
          </w:tcPr>
          <w:p w14:paraId="2BFE1B0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26864BE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坚石硬打三合土</w:t>
            </w:r>
          </w:p>
        </w:tc>
        <w:tc>
          <w:tcPr>
            <w:tcW w:w="969" w:type="dxa"/>
            <w:vMerge w:val="continue"/>
            <w:vAlign w:val="center"/>
          </w:tcPr>
          <w:p w14:paraId="160004C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2A3B56A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96</w:t>
            </w:r>
          </w:p>
        </w:tc>
        <w:tc>
          <w:tcPr>
            <w:tcW w:w="2835" w:type="dxa"/>
            <w:vMerge w:val="continue"/>
            <w:vAlign w:val="center"/>
          </w:tcPr>
          <w:p w14:paraId="56AA2490">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6551A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263" w:type="dxa"/>
            <w:vMerge w:val="continue"/>
            <w:vAlign w:val="center"/>
          </w:tcPr>
          <w:p w14:paraId="7BFA198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4F47B55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水泥土</w:t>
            </w:r>
          </w:p>
        </w:tc>
        <w:tc>
          <w:tcPr>
            <w:tcW w:w="969" w:type="dxa"/>
            <w:vMerge w:val="continue"/>
            <w:vAlign w:val="center"/>
          </w:tcPr>
          <w:p w14:paraId="4A15D6F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567B282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60</w:t>
            </w:r>
          </w:p>
        </w:tc>
        <w:tc>
          <w:tcPr>
            <w:tcW w:w="2835" w:type="dxa"/>
            <w:vMerge w:val="continue"/>
            <w:vAlign w:val="center"/>
          </w:tcPr>
          <w:p w14:paraId="22E8D4F5">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28155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Merge w:val="restart"/>
            <w:vAlign w:val="center"/>
          </w:tcPr>
          <w:p w14:paraId="1A92099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水  渠</w:t>
            </w:r>
          </w:p>
        </w:tc>
        <w:tc>
          <w:tcPr>
            <w:tcW w:w="2150" w:type="dxa"/>
            <w:vAlign w:val="center"/>
          </w:tcPr>
          <w:p w14:paraId="738C8A9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条石</w:t>
            </w:r>
          </w:p>
        </w:tc>
        <w:tc>
          <w:tcPr>
            <w:tcW w:w="969" w:type="dxa"/>
            <w:vMerge w:val="restart"/>
            <w:vAlign w:val="center"/>
          </w:tcPr>
          <w:p w14:paraId="79BB624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立</w:t>
            </w:r>
          </w:p>
          <w:p w14:paraId="6D2DFF4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方</w:t>
            </w:r>
          </w:p>
          <w:p w14:paraId="41F7A93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米</w:t>
            </w:r>
          </w:p>
        </w:tc>
        <w:tc>
          <w:tcPr>
            <w:tcW w:w="1559" w:type="dxa"/>
            <w:vAlign w:val="center"/>
          </w:tcPr>
          <w:p w14:paraId="5C3ECA9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300</w:t>
            </w:r>
          </w:p>
        </w:tc>
        <w:tc>
          <w:tcPr>
            <w:tcW w:w="2835" w:type="dxa"/>
            <w:vMerge w:val="restart"/>
            <w:vAlign w:val="center"/>
          </w:tcPr>
          <w:p w14:paraId="4C895673">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r>
              <w:rPr>
                <w:rFonts w:ascii="Times New Roman" w:hAnsi="Times New Roman" w:eastAsia="方正仿宋_GBK" w:cs="Times New Roman"/>
                <w:sz w:val="24"/>
              </w:rPr>
              <w:t>指村社人工砌筑的专用水渠。</w:t>
            </w:r>
          </w:p>
        </w:tc>
      </w:tr>
      <w:tr w14:paraId="540F8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Merge w:val="continue"/>
            <w:vAlign w:val="center"/>
          </w:tcPr>
          <w:p w14:paraId="7966C7DD">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06E96351">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砖砌片石（砖、三合土）</w:t>
            </w:r>
          </w:p>
        </w:tc>
        <w:tc>
          <w:tcPr>
            <w:tcW w:w="969" w:type="dxa"/>
            <w:vMerge w:val="continue"/>
            <w:vAlign w:val="center"/>
          </w:tcPr>
          <w:p w14:paraId="58C49F0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022A766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240</w:t>
            </w:r>
          </w:p>
        </w:tc>
        <w:tc>
          <w:tcPr>
            <w:tcW w:w="2835" w:type="dxa"/>
            <w:vMerge w:val="continue"/>
            <w:vAlign w:val="center"/>
          </w:tcPr>
          <w:p w14:paraId="6F2B08A8">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4240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63" w:type="dxa"/>
            <w:vMerge w:val="restart"/>
            <w:vAlign w:val="center"/>
          </w:tcPr>
          <w:p w14:paraId="6262203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电  杆</w:t>
            </w:r>
          </w:p>
        </w:tc>
        <w:tc>
          <w:tcPr>
            <w:tcW w:w="2150" w:type="dxa"/>
            <w:vAlign w:val="center"/>
          </w:tcPr>
          <w:p w14:paraId="39547E4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9米及以上圆电杆</w:t>
            </w:r>
          </w:p>
        </w:tc>
        <w:tc>
          <w:tcPr>
            <w:tcW w:w="969" w:type="dxa"/>
            <w:vMerge w:val="restart"/>
            <w:vAlign w:val="center"/>
          </w:tcPr>
          <w:p w14:paraId="6D48F711">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cs="Times New Roman"/>
              </w:rPr>
            </w:pPr>
            <w:r>
              <w:rPr>
                <w:rFonts w:ascii="Times New Roman" w:hAnsi="Times New Roman" w:eastAsia="方正仿宋_GBK" w:cs="Times New Roman"/>
                <w:sz w:val="24"/>
              </w:rPr>
              <w:t>根</w:t>
            </w:r>
          </w:p>
        </w:tc>
        <w:tc>
          <w:tcPr>
            <w:tcW w:w="1559" w:type="dxa"/>
            <w:vAlign w:val="center"/>
          </w:tcPr>
          <w:p w14:paraId="55749F27">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1440</w:t>
            </w:r>
          </w:p>
        </w:tc>
        <w:tc>
          <w:tcPr>
            <w:tcW w:w="2835" w:type="dxa"/>
            <w:vMerge w:val="restart"/>
            <w:vAlign w:val="center"/>
          </w:tcPr>
          <w:p w14:paraId="52894D19">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r>
              <w:rPr>
                <w:rFonts w:ascii="Times New Roman" w:hAnsi="Times New Roman" w:eastAsia="方正仿宋_GBK" w:cs="Times New Roman"/>
                <w:sz w:val="24"/>
              </w:rPr>
              <w:t>电杆、电线指乡镇（街道）以下集体、个人投资的。</w:t>
            </w:r>
          </w:p>
        </w:tc>
      </w:tr>
      <w:tr w14:paraId="2C37D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63" w:type="dxa"/>
            <w:vMerge w:val="continue"/>
            <w:vAlign w:val="center"/>
          </w:tcPr>
          <w:p w14:paraId="4D1E46B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413C954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水泥方电杆（含</w:t>
            </w:r>
          </w:p>
          <w:p w14:paraId="44CAEBF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9米以下圆电杆）</w:t>
            </w:r>
          </w:p>
        </w:tc>
        <w:tc>
          <w:tcPr>
            <w:tcW w:w="969" w:type="dxa"/>
            <w:vMerge w:val="continue"/>
            <w:vAlign w:val="center"/>
          </w:tcPr>
          <w:p w14:paraId="1723C5F7">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cs="Times New Roman"/>
              </w:rPr>
            </w:pPr>
          </w:p>
        </w:tc>
        <w:tc>
          <w:tcPr>
            <w:tcW w:w="1559" w:type="dxa"/>
            <w:vAlign w:val="center"/>
          </w:tcPr>
          <w:p w14:paraId="3607F5A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1200</w:t>
            </w:r>
          </w:p>
        </w:tc>
        <w:tc>
          <w:tcPr>
            <w:tcW w:w="2835" w:type="dxa"/>
            <w:vMerge w:val="continue"/>
            <w:vAlign w:val="center"/>
          </w:tcPr>
          <w:p w14:paraId="3F8C6ACD">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4AFDB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263" w:type="dxa"/>
            <w:vMerge w:val="restart"/>
            <w:vAlign w:val="center"/>
          </w:tcPr>
          <w:p w14:paraId="48AA7D9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电  线</w:t>
            </w:r>
          </w:p>
        </w:tc>
        <w:tc>
          <w:tcPr>
            <w:tcW w:w="2150" w:type="dxa"/>
            <w:vAlign w:val="center"/>
          </w:tcPr>
          <w:p w14:paraId="376CDB9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室外照明电线</w:t>
            </w:r>
          </w:p>
        </w:tc>
        <w:tc>
          <w:tcPr>
            <w:tcW w:w="969" w:type="dxa"/>
            <w:vMerge w:val="restart"/>
            <w:vAlign w:val="center"/>
          </w:tcPr>
          <w:p w14:paraId="3FDE5BD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米</w:t>
            </w:r>
          </w:p>
        </w:tc>
        <w:tc>
          <w:tcPr>
            <w:tcW w:w="1559" w:type="dxa"/>
            <w:vAlign w:val="center"/>
          </w:tcPr>
          <w:p w14:paraId="19DAAEA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4</w:t>
            </w:r>
          </w:p>
        </w:tc>
        <w:tc>
          <w:tcPr>
            <w:tcW w:w="2835" w:type="dxa"/>
            <w:vMerge w:val="continue"/>
            <w:vAlign w:val="center"/>
          </w:tcPr>
          <w:p w14:paraId="2CF7A74B">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66803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263" w:type="dxa"/>
            <w:vMerge w:val="continue"/>
            <w:vAlign w:val="center"/>
          </w:tcPr>
          <w:p w14:paraId="3EEE963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173FE24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动力电线</w:t>
            </w:r>
          </w:p>
        </w:tc>
        <w:tc>
          <w:tcPr>
            <w:tcW w:w="969" w:type="dxa"/>
            <w:vMerge w:val="continue"/>
            <w:vAlign w:val="center"/>
          </w:tcPr>
          <w:p w14:paraId="2142AB5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282C83B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6</w:t>
            </w:r>
          </w:p>
        </w:tc>
        <w:tc>
          <w:tcPr>
            <w:tcW w:w="2835" w:type="dxa"/>
            <w:vMerge w:val="continue"/>
            <w:vAlign w:val="center"/>
          </w:tcPr>
          <w:p w14:paraId="549C4756">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6F992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Merge w:val="restart"/>
            <w:vAlign w:val="center"/>
          </w:tcPr>
          <w:p w14:paraId="46CD8AAD">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大  棚</w:t>
            </w:r>
          </w:p>
        </w:tc>
        <w:tc>
          <w:tcPr>
            <w:tcW w:w="2150" w:type="dxa"/>
            <w:vAlign w:val="center"/>
          </w:tcPr>
          <w:p w14:paraId="782DE11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钢架薄膜</w:t>
            </w:r>
          </w:p>
        </w:tc>
        <w:tc>
          <w:tcPr>
            <w:tcW w:w="969" w:type="dxa"/>
            <w:vMerge w:val="restart"/>
            <w:vAlign w:val="center"/>
          </w:tcPr>
          <w:p w14:paraId="5C29F227">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亩</w:t>
            </w:r>
          </w:p>
        </w:tc>
        <w:tc>
          <w:tcPr>
            <w:tcW w:w="1559" w:type="dxa"/>
            <w:vAlign w:val="center"/>
          </w:tcPr>
          <w:p w14:paraId="7D865E0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5280</w:t>
            </w:r>
          </w:p>
        </w:tc>
        <w:tc>
          <w:tcPr>
            <w:tcW w:w="2835" w:type="dxa"/>
            <w:vMerge w:val="restart"/>
            <w:vAlign w:val="center"/>
          </w:tcPr>
          <w:p w14:paraId="67544192">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373CA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Merge w:val="continue"/>
            <w:vAlign w:val="center"/>
          </w:tcPr>
          <w:p w14:paraId="1367BDC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08083DC1">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竹木架薄膜</w:t>
            </w:r>
          </w:p>
        </w:tc>
        <w:tc>
          <w:tcPr>
            <w:tcW w:w="969" w:type="dxa"/>
            <w:vMerge w:val="continue"/>
            <w:vAlign w:val="center"/>
          </w:tcPr>
          <w:p w14:paraId="29B3DE7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4A65F5DD">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2532</w:t>
            </w:r>
          </w:p>
        </w:tc>
        <w:tc>
          <w:tcPr>
            <w:tcW w:w="2835" w:type="dxa"/>
            <w:vMerge w:val="continue"/>
            <w:vAlign w:val="center"/>
          </w:tcPr>
          <w:p w14:paraId="77EC35F2">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3E82D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Align w:val="center"/>
          </w:tcPr>
          <w:p w14:paraId="346D42B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沼气池</w:t>
            </w:r>
          </w:p>
        </w:tc>
        <w:tc>
          <w:tcPr>
            <w:tcW w:w="2150" w:type="dxa"/>
            <w:vAlign w:val="center"/>
          </w:tcPr>
          <w:p w14:paraId="05C639A7">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969" w:type="dxa"/>
            <w:vAlign w:val="center"/>
          </w:tcPr>
          <w:p w14:paraId="69EF7C02">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个</w:t>
            </w:r>
          </w:p>
        </w:tc>
        <w:tc>
          <w:tcPr>
            <w:tcW w:w="1559" w:type="dxa"/>
            <w:vAlign w:val="center"/>
          </w:tcPr>
          <w:p w14:paraId="4525AE1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2880</w:t>
            </w:r>
          </w:p>
        </w:tc>
        <w:tc>
          <w:tcPr>
            <w:tcW w:w="2835" w:type="dxa"/>
            <w:vAlign w:val="center"/>
          </w:tcPr>
          <w:p w14:paraId="2F93BB70">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16BF9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Align w:val="center"/>
          </w:tcPr>
          <w:p w14:paraId="14B5A05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室外苕洞</w:t>
            </w:r>
          </w:p>
        </w:tc>
        <w:tc>
          <w:tcPr>
            <w:tcW w:w="2150" w:type="dxa"/>
            <w:vAlign w:val="center"/>
          </w:tcPr>
          <w:p w14:paraId="4BB7850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969" w:type="dxa"/>
            <w:vAlign w:val="center"/>
          </w:tcPr>
          <w:p w14:paraId="351AF3A6">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立方米</w:t>
            </w:r>
          </w:p>
        </w:tc>
        <w:tc>
          <w:tcPr>
            <w:tcW w:w="1559" w:type="dxa"/>
            <w:vAlign w:val="center"/>
          </w:tcPr>
          <w:p w14:paraId="434D7EE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60</w:t>
            </w:r>
          </w:p>
        </w:tc>
        <w:tc>
          <w:tcPr>
            <w:tcW w:w="2835" w:type="dxa"/>
            <w:vAlign w:val="center"/>
          </w:tcPr>
          <w:p w14:paraId="256AA811">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39D84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Align w:val="center"/>
          </w:tcPr>
          <w:p w14:paraId="406F3D1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室外搭建兔房</w:t>
            </w:r>
          </w:p>
        </w:tc>
        <w:tc>
          <w:tcPr>
            <w:tcW w:w="2150" w:type="dxa"/>
            <w:vAlign w:val="center"/>
          </w:tcPr>
          <w:p w14:paraId="138E804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969" w:type="dxa"/>
            <w:vAlign w:val="center"/>
          </w:tcPr>
          <w:p w14:paraId="0C267B91">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间</w:t>
            </w:r>
          </w:p>
        </w:tc>
        <w:tc>
          <w:tcPr>
            <w:tcW w:w="1559" w:type="dxa"/>
            <w:vAlign w:val="center"/>
          </w:tcPr>
          <w:p w14:paraId="30799B2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30</w:t>
            </w:r>
          </w:p>
        </w:tc>
        <w:tc>
          <w:tcPr>
            <w:tcW w:w="2835" w:type="dxa"/>
            <w:vAlign w:val="center"/>
          </w:tcPr>
          <w:p w14:paraId="3191DEFC">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3F1D2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Align w:val="center"/>
          </w:tcPr>
          <w:p w14:paraId="7C2554D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pacing w:val="-20"/>
                <w:sz w:val="24"/>
              </w:rPr>
            </w:pPr>
            <w:r>
              <w:rPr>
                <w:rFonts w:ascii="Times New Roman" w:hAnsi="Times New Roman" w:eastAsia="方正仿宋_GBK" w:cs="Times New Roman"/>
                <w:sz w:val="24"/>
              </w:rPr>
              <w:t>室外洗衣台</w:t>
            </w:r>
          </w:p>
        </w:tc>
        <w:tc>
          <w:tcPr>
            <w:tcW w:w="2150" w:type="dxa"/>
            <w:vAlign w:val="center"/>
          </w:tcPr>
          <w:p w14:paraId="04CD8E3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969" w:type="dxa"/>
            <w:vAlign w:val="center"/>
          </w:tcPr>
          <w:p w14:paraId="027A60B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个</w:t>
            </w:r>
          </w:p>
        </w:tc>
        <w:tc>
          <w:tcPr>
            <w:tcW w:w="1559" w:type="dxa"/>
            <w:vAlign w:val="center"/>
          </w:tcPr>
          <w:p w14:paraId="592E4B8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360</w:t>
            </w:r>
          </w:p>
        </w:tc>
        <w:tc>
          <w:tcPr>
            <w:tcW w:w="2835" w:type="dxa"/>
            <w:vAlign w:val="center"/>
          </w:tcPr>
          <w:p w14:paraId="107A4830">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p>
        </w:tc>
      </w:tr>
      <w:tr w14:paraId="690E5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Merge w:val="restart"/>
            <w:vAlign w:val="center"/>
          </w:tcPr>
          <w:p w14:paraId="4DF7B9B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水  管</w:t>
            </w:r>
          </w:p>
        </w:tc>
        <w:tc>
          <w:tcPr>
            <w:tcW w:w="2150" w:type="dxa"/>
            <w:vAlign w:val="center"/>
          </w:tcPr>
          <w:p w14:paraId="593B7AC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室外饮水管钢管</w:t>
            </w:r>
          </w:p>
        </w:tc>
        <w:tc>
          <w:tcPr>
            <w:tcW w:w="969" w:type="dxa"/>
            <w:vMerge w:val="restart"/>
            <w:vAlign w:val="center"/>
          </w:tcPr>
          <w:p w14:paraId="454A5FF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米</w:t>
            </w:r>
          </w:p>
        </w:tc>
        <w:tc>
          <w:tcPr>
            <w:tcW w:w="1559" w:type="dxa"/>
            <w:vAlign w:val="center"/>
          </w:tcPr>
          <w:p w14:paraId="6A4E0023">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5</w:t>
            </w:r>
          </w:p>
        </w:tc>
        <w:tc>
          <w:tcPr>
            <w:tcW w:w="2835" w:type="dxa"/>
            <w:vMerge w:val="restart"/>
            <w:vAlign w:val="center"/>
          </w:tcPr>
          <w:p w14:paraId="0E5B18C8">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r>
              <w:rPr>
                <w:rFonts w:ascii="Times New Roman" w:hAnsi="Times New Roman" w:eastAsia="方正仿宋_GBK" w:cs="Times New Roman"/>
                <w:sz w:val="24"/>
              </w:rPr>
              <w:t>不含市政管网。</w:t>
            </w:r>
          </w:p>
        </w:tc>
      </w:tr>
      <w:tr w14:paraId="2A77F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Merge w:val="continue"/>
            <w:vAlign w:val="center"/>
          </w:tcPr>
          <w:p w14:paraId="2C29715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53B9E26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塑料管</w:t>
            </w:r>
          </w:p>
        </w:tc>
        <w:tc>
          <w:tcPr>
            <w:tcW w:w="969" w:type="dxa"/>
            <w:vMerge w:val="continue"/>
            <w:vAlign w:val="center"/>
          </w:tcPr>
          <w:p w14:paraId="0FFA718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6B2E146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w:t>
            </w:r>
          </w:p>
        </w:tc>
        <w:tc>
          <w:tcPr>
            <w:tcW w:w="2835" w:type="dxa"/>
            <w:vMerge w:val="continue"/>
            <w:vAlign w:val="center"/>
          </w:tcPr>
          <w:p w14:paraId="0F1ED072">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16149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Align w:val="center"/>
          </w:tcPr>
          <w:p w14:paraId="028492E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太阳能热水器</w:t>
            </w:r>
          </w:p>
        </w:tc>
        <w:tc>
          <w:tcPr>
            <w:tcW w:w="2150" w:type="dxa"/>
            <w:vAlign w:val="center"/>
          </w:tcPr>
          <w:p w14:paraId="2D1CFF1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969" w:type="dxa"/>
            <w:vAlign w:val="center"/>
          </w:tcPr>
          <w:p w14:paraId="2E5FADB8">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个</w:t>
            </w:r>
          </w:p>
        </w:tc>
        <w:tc>
          <w:tcPr>
            <w:tcW w:w="1559" w:type="dxa"/>
            <w:vAlign w:val="center"/>
          </w:tcPr>
          <w:p w14:paraId="6BDAFBB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300</w:t>
            </w:r>
          </w:p>
        </w:tc>
        <w:tc>
          <w:tcPr>
            <w:tcW w:w="2835" w:type="dxa"/>
            <w:vAlign w:val="center"/>
          </w:tcPr>
          <w:p w14:paraId="75A9014E">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r>
              <w:rPr>
                <w:rFonts w:ascii="Times New Roman" w:hAnsi="Times New Roman" w:eastAsia="方正仿宋_GBK" w:cs="Times New Roman"/>
                <w:sz w:val="24"/>
              </w:rPr>
              <w:t>搬迁补助。</w:t>
            </w:r>
          </w:p>
        </w:tc>
      </w:tr>
      <w:tr w14:paraId="0FB98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Align w:val="center"/>
          </w:tcPr>
          <w:p w14:paraId="329CF6BA">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闭路电视</w:t>
            </w:r>
          </w:p>
        </w:tc>
        <w:tc>
          <w:tcPr>
            <w:tcW w:w="2150" w:type="dxa"/>
            <w:vAlign w:val="center"/>
          </w:tcPr>
          <w:p w14:paraId="27170072">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969" w:type="dxa"/>
            <w:vAlign w:val="center"/>
          </w:tcPr>
          <w:p w14:paraId="02EF553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户</w:t>
            </w:r>
          </w:p>
        </w:tc>
        <w:tc>
          <w:tcPr>
            <w:tcW w:w="1559" w:type="dxa"/>
            <w:vAlign w:val="center"/>
          </w:tcPr>
          <w:p w14:paraId="482E8EB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150</w:t>
            </w:r>
          </w:p>
        </w:tc>
        <w:tc>
          <w:tcPr>
            <w:tcW w:w="2835" w:type="dxa"/>
            <w:vAlign w:val="center"/>
          </w:tcPr>
          <w:p w14:paraId="650CDC1B">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r>
              <w:rPr>
                <w:rFonts w:ascii="Times New Roman" w:hAnsi="Times New Roman" w:eastAsia="方正仿宋_GBK" w:cs="Times New Roman"/>
                <w:sz w:val="24"/>
              </w:rPr>
              <w:t>搬迁补助。</w:t>
            </w:r>
          </w:p>
        </w:tc>
      </w:tr>
      <w:tr w14:paraId="3F9AE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Align w:val="center"/>
          </w:tcPr>
          <w:p w14:paraId="170B08F2">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天然气</w:t>
            </w:r>
          </w:p>
        </w:tc>
        <w:tc>
          <w:tcPr>
            <w:tcW w:w="2150" w:type="dxa"/>
            <w:vAlign w:val="center"/>
          </w:tcPr>
          <w:p w14:paraId="27BDA7A7">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969" w:type="dxa"/>
            <w:vAlign w:val="center"/>
          </w:tcPr>
          <w:p w14:paraId="58EE918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户</w:t>
            </w:r>
          </w:p>
        </w:tc>
        <w:tc>
          <w:tcPr>
            <w:tcW w:w="1559" w:type="dxa"/>
            <w:vAlign w:val="center"/>
          </w:tcPr>
          <w:p w14:paraId="2146597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300</w:t>
            </w:r>
          </w:p>
        </w:tc>
        <w:tc>
          <w:tcPr>
            <w:tcW w:w="2835" w:type="dxa"/>
            <w:vAlign w:val="center"/>
          </w:tcPr>
          <w:p w14:paraId="7700F7C3">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r>
              <w:rPr>
                <w:rFonts w:ascii="Times New Roman" w:hAnsi="Times New Roman" w:eastAsia="方正仿宋_GBK" w:cs="Times New Roman"/>
                <w:sz w:val="24"/>
              </w:rPr>
              <w:t>搬迁补助。</w:t>
            </w:r>
          </w:p>
        </w:tc>
      </w:tr>
      <w:tr w14:paraId="507B6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Merge w:val="restart"/>
            <w:vAlign w:val="center"/>
          </w:tcPr>
          <w:p w14:paraId="11DD6EF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空调</w:t>
            </w:r>
          </w:p>
        </w:tc>
        <w:tc>
          <w:tcPr>
            <w:tcW w:w="2150" w:type="dxa"/>
            <w:vAlign w:val="center"/>
          </w:tcPr>
          <w:p w14:paraId="7F53B097">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挂机</w:t>
            </w:r>
          </w:p>
        </w:tc>
        <w:tc>
          <w:tcPr>
            <w:tcW w:w="969" w:type="dxa"/>
            <w:vMerge w:val="restart"/>
            <w:vAlign w:val="center"/>
          </w:tcPr>
          <w:p w14:paraId="315DFB0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台</w:t>
            </w:r>
          </w:p>
        </w:tc>
        <w:tc>
          <w:tcPr>
            <w:tcW w:w="1559" w:type="dxa"/>
            <w:vAlign w:val="center"/>
          </w:tcPr>
          <w:p w14:paraId="6829DB8B">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 xml:space="preserve">200        </w:t>
            </w:r>
          </w:p>
        </w:tc>
        <w:tc>
          <w:tcPr>
            <w:tcW w:w="2835" w:type="dxa"/>
            <w:vMerge w:val="restart"/>
            <w:vAlign w:val="center"/>
          </w:tcPr>
          <w:p w14:paraId="1836E750">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r>
              <w:rPr>
                <w:rFonts w:ascii="Times New Roman" w:hAnsi="Times New Roman" w:eastAsia="方正仿宋_GBK" w:cs="Times New Roman"/>
                <w:sz w:val="24"/>
              </w:rPr>
              <w:t>搬迁补助。</w:t>
            </w:r>
          </w:p>
        </w:tc>
      </w:tr>
      <w:tr w14:paraId="7C093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Merge w:val="continue"/>
            <w:vAlign w:val="center"/>
          </w:tcPr>
          <w:p w14:paraId="1841E5C4">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2150" w:type="dxa"/>
            <w:vAlign w:val="center"/>
          </w:tcPr>
          <w:p w14:paraId="619E1020">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柜式</w:t>
            </w:r>
          </w:p>
        </w:tc>
        <w:tc>
          <w:tcPr>
            <w:tcW w:w="969" w:type="dxa"/>
            <w:vMerge w:val="continue"/>
            <w:vAlign w:val="center"/>
          </w:tcPr>
          <w:p w14:paraId="4AC784F9">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1559" w:type="dxa"/>
            <w:vAlign w:val="center"/>
          </w:tcPr>
          <w:p w14:paraId="29E512BF">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300</w:t>
            </w:r>
          </w:p>
        </w:tc>
        <w:tc>
          <w:tcPr>
            <w:tcW w:w="2835" w:type="dxa"/>
            <w:vMerge w:val="continue"/>
            <w:vAlign w:val="center"/>
          </w:tcPr>
          <w:p w14:paraId="105EFEE8">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z w:val="24"/>
              </w:rPr>
            </w:pPr>
          </w:p>
        </w:tc>
      </w:tr>
      <w:tr w14:paraId="46270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vAlign w:val="center"/>
          </w:tcPr>
          <w:p w14:paraId="34B6821E">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电话（宽带）</w:t>
            </w:r>
          </w:p>
        </w:tc>
        <w:tc>
          <w:tcPr>
            <w:tcW w:w="2150" w:type="dxa"/>
            <w:vAlign w:val="center"/>
          </w:tcPr>
          <w:p w14:paraId="69B65985">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p>
        </w:tc>
        <w:tc>
          <w:tcPr>
            <w:tcW w:w="969" w:type="dxa"/>
            <w:vAlign w:val="center"/>
          </w:tcPr>
          <w:p w14:paraId="1BDF524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户</w:t>
            </w:r>
          </w:p>
        </w:tc>
        <w:tc>
          <w:tcPr>
            <w:tcW w:w="1559" w:type="dxa"/>
            <w:vAlign w:val="center"/>
          </w:tcPr>
          <w:p w14:paraId="6746C6AC">
            <w:pPr>
              <w:keepNext w:val="0"/>
              <w:keepLines w:val="0"/>
              <w:pageBreakBefore w:val="0"/>
              <w:kinsoku/>
              <w:wordWrap/>
              <w:overflowPunct/>
              <w:topLinePunct w:val="0"/>
              <w:bidi w:val="0"/>
              <w:snapToGrid/>
              <w:spacing w:line="400" w:lineRule="exact"/>
              <w:ind w:left="0" w:leftChars="0" w:right="0" w:rightChars="0"/>
              <w:jc w:val="center"/>
              <w:textAlignment w:val="auto"/>
              <w:rPr>
                <w:rFonts w:ascii="Times New Roman" w:hAnsi="Times New Roman" w:eastAsia="方正仿宋_GBK" w:cs="Times New Roman"/>
                <w:sz w:val="24"/>
              </w:rPr>
            </w:pPr>
            <w:r>
              <w:rPr>
                <w:rFonts w:ascii="Times New Roman" w:hAnsi="Times New Roman" w:eastAsia="方正仿宋_GBK" w:cs="Times New Roman"/>
                <w:sz w:val="24"/>
              </w:rPr>
              <w:t>150</w:t>
            </w:r>
          </w:p>
        </w:tc>
        <w:tc>
          <w:tcPr>
            <w:tcW w:w="2835" w:type="dxa"/>
            <w:vAlign w:val="center"/>
          </w:tcPr>
          <w:p w14:paraId="57C4FA5F">
            <w:pPr>
              <w:keepNext w:val="0"/>
              <w:keepLines w:val="0"/>
              <w:pageBreakBefore w:val="0"/>
              <w:kinsoku/>
              <w:wordWrap/>
              <w:overflowPunct/>
              <w:topLinePunct w:val="0"/>
              <w:bidi w:val="0"/>
              <w:snapToGrid/>
              <w:spacing w:line="400" w:lineRule="exact"/>
              <w:ind w:left="0" w:leftChars="0" w:right="0" w:rightChars="0"/>
              <w:textAlignment w:val="auto"/>
              <w:rPr>
                <w:rFonts w:ascii="Times New Roman" w:hAnsi="Times New Roman" w:eastAsia="方正仿宋_GBK" w:cs="Times New Roman"/>
                <w:spacing w:val="-30"/>
                <w:sz w:val="24"/>
              </w:rPr>
            </w:pPr>
            <w:r>
              <w:rPr>
                <w:rFonts w:ascii="Times New Roman" w:hAnsi="Times New Roman" w:eastAsia="方正仿宋_GBK" w:cs="Times New Roman"/>
                <w:sz w:val="24"/>
              </w:rPr>
              <w:t>搬迁补助。</w:t>
            </w:r>
          </w:p>
        </w:tc>
      </w:tr>
    </w:tbl>
    <w:p w14:paraId="07CF1159">
      <w:pPr>
        <w:pageBreakBefore w:val="0"/>
        <w:kinsoku/>
        <w:overflowPunct/>
        <w:topLinePunct w:val="0"/>
        <w:bidi w:val="0"/>
        <w:spacing w:line="440" w:lineRule="exact"/>
        <w:ind w:left="0" w:leftChars="0" w:right="0" w:rightChars="0"/>
        <w:textAlignment w:val="auto"/>
        <w:rPr>
          <w:rFonts w:ascii="Times New Roman" w:hAnsi="Times New Roman" w:eastAsia="方正黑体_GBK" w:cs="Times New Roman"/>
          <w:sz w:val="32"/>
          <w:szCs w:val="32"/>
        </w:rPr>
      </w:pPr>
    </w:p>
    <w:p w14:paraId="3E45EAED">
      <w:pPr>
        <w:pageBreakBefore w:val="0"/>
        <w:kinsoku/>
        <w:overflowPunct/>
        <w:topLinePunct w:val="0"/>
        <w:bidi w:val="0"/>
        <w:spacing w:line="560" w:lineRule="exact"/>
        <w:ind w:left="0" w:leftChars="0" w:right="0" w:rightChars="0"/>
        <w:textAlignment w:val="auto"/>
        <w:rPr>
          <w:rFonts w:ascii="Times New Roman" w:hAnsi="Times New Roman" w:eastAsia="方正黑体_GBK" w:cs="Times New Roman"/>
          <w:sz w:val="32"/>
          <w:szCs w:val="32"/>
        </w:rPr>
      </w:pPr>
    </w:p>
    <w:p w14:paraId="60C9DA1E">
      <w:pPr>
        <w:pageBreakBefore w:val="0"/>
        <w:kinsoku/>
        <w:overflowPunct/>
        <w:topLinePunct w:val="0"/>
        <w:bidi w:val="0"/>
        <w:spacing w:line="560" w:lineRule="exact"/>
        <w:ind w:left="0" w:leftChars="0" w:right="0" w:rightChars="0"/>
        <w:textAlignment w:val="auto"/>
        <w:rPr>
          <w:rFonts w:ascii="Times New Roman" w:hAnsi="Times New Roman" w:eastAsia="方正黑体_GBK" w:cs="Times New Roman"/>
          <w:sz w:val="32"/>
          <w:szCs w:val="32"/>
        </w:rPr>
      </w:pPr>
      <w:r>
        <w:rPr>
          <w:rFonts w:ascii="Times New Roman" w:hAnsi="Times New Roman" w:eastAsia="方正黑体_GBK" w:cs="Times New Roman"/>
          <w:sz w:val="32"/>
          <w:szCs w:val="32"/>
        </w:rPr>
        <w:t>附件5</w:t>
      </w:r>
    </w:p>
    <w:p w14:paraId="0FE646BD">
      <w:pPr>
        <w:pStyle w:val="13"/>
        <w:pageBreakBefore w:val="0"/>
        <w:kinsoku/>
        <w:overflowPunct/>
        <w:topLinePunct w:val="0"/>
        <w:bidi w:val="0"/>
        <w:spacing w:line="560" w:lineRule="exact"/>
        <w:ind w:left="0" w:leftChars="0" w:right="0" w:rightChars="0"/>
        <w:jc w:val="center"/>
        <w:textAlignment w:val="auto"/>
        <w:rPr>
          <w:rFonts w:ascii="Times New Roman" w:hAnsi="Times New Roman" w:eastAsia="方正小标宋_GBK" w:cs="Times New Roman"/>
          <w:color w:val="auto"/>
          <w:kern w:val="2"/>
          <w:sz w:val="44"/>
          <w:szCs w:val="44"/>
        </w:rPr>
      </w:pPr>
      <w:r>
        <w:rPr>
          <w:rFonts w:ascii="Times New Roman" w:hAnsi="Times New Roman" w:eastAsia="方正小标宋_GBK" w:cs="Times New Roman"/>
          <w:color w:val="auto"/>
          <w:kern w:val="2"/>
          <w:sz w:val="44"/>
          <w:szCs w:val="44"/>
        </w:rPr>
        <w:t>黔江区住房货币安置价格标准</w:t>
      </w:r>
    </w:p>
    <w:p w14:paraId="08F77EB1">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color w:val="000000"/>
          <w:sz w:val="28"/>
          <w:szCs w:val="28"/>
        </w:rPr>
      </w:pPr>
    </w:p>
    <w:p w14:paraId="4B7773F1">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小标宋_GBK" w:cs="Times New Roman"/>
          <w:color w:val="000000"/>
          <w:sz w:val="44"/>
          <w:szCs w:val="44"/>
        </w:rPr>
      </w:pPr>
      <w:r>
        <w:rPr>
          <w:rFonts w:ascii="Times New Roman" w:hAnsi="Times New Roman" w:eastAsia="方正仿宋_GBK" w:cs="Times New Roman"/>
          <w:color w:val="000000"/>
          <w:sz w:val="28"/>
          <w:szCs w:val="28"/>
        </w:rPr>
        <w:t xml:space="preserve">                                          单位：元/平方米</w:t>
      </w:r>
    </w:p>
    <w:tbl>
      <w:tblPr>
        <w:tblStyle w:val="9"/>
        <w:tblW w:w="919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10"/>
        <w:gridCol w:w="1238"/>
        <w:gridCol w:w="4545"/>
      </w:tblGrid>
      <w:tr w14:paraId="49880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3410" w:type="dxa"/>
            <w:vAlign w:val="center"/>
          </w:tcPr>
          <w:p w14:paraId="1C3A7932">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范围</w:t>
            </w:r>
          </w:p>
        </w:tc>
        <w:tc>
          <w:tcPr>
            <w:tcW w:w="1238" w:type="dxa"/>
            <w:vAlign w:val="center"/>
          </w:tcPr>
          <w:p w14:paraId="094134D4">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价格</w:t>
            </w:r>
          </w:p>
        </w:tc>
        <w:tc>
          <w:tcPr>
            <w:tcW w:w="4545" w:type="dxa"/>
            <w:vAlign w:val="center"/>
          </w:tcPr>
          <w:p w14:paraId="4C436C0F">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备注</w:t>
            </w:r>
          </w:p>
        </w:tc>
      </w:tr>
      <w:tr w14:paraId="4D9F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3410" w:type="dxa"/>
            <w:vAlign w:val="center"/>
          </w:tcPr>
          <w:p w14:paraId="2AADD332">
            <w:pPr>
              <w:pageBreakBefore w:val="0"/>
              <w:widowControl/>
              <w:kinsoku/>
              <w:overflowPunct/>
              <w:topLinePunct w:val="0"/>
              <w:bidi w:val="0"/>
              <w:spacing w:line="560" w:lineRule="exact"/>
              <w:ind w:left="0" w:leftChars="0" w:right="0" w:rightChars="0"/>
              <w:jc w:val="left"/>
              <w:textAlignment w:val="auto"/>
              <w:rPr>
                <w:rFonts w:ascii="Times New Roman" w:hAnsi="Times New Roman" w:eastAsia="方正仿宋_GBK" w:cs="Times New Roman"/>
                <w:kern w:val="0"/>
                <w:sz w:val="24"/>
              </w:rPr>
            </w:pPr>
            <w:r>
              <w:rPr>
                <w:rFonts w:ascii="Times New Roman" w:hAnsi="Times New Roman" w:eastAsia="方正仿宋_GBK" w:cs="Times New Roman"/>
                <w:kern w:val="0"/>
                <w:sz w:val="24"/>
              </w:rPr>
              <w:t>中心城区规划建设用地范围内</w:t>
            </w:r>
          </w:p>
        </w:tc>
        <w:tc>
          <w:tcPr>
            <w:tcW w:w="1238" w:type="dxa"/>
            <w:vAlign w:val="center"/>
          </w:tcPr>
          <w:p w14:paraId="14AB551E">
            <w:pPr>
              <w:pStyle w:val="13"/>
              <w:pageBreakBefore w:val="0"/>
              <w:kinsoku/>
              <w:overflowPunct/>
              <w:topLinePunct w:val="0"/>
              <w:bidi w:val="0"/>
              <w:spacing w:line="560" w:lineRule="exact"/>
              <w:ind w:left="0" w:leftChars="0" w:right="0" w:rightChars="0"/>
              <w:jc w:val="center"/>
              <w:textAlignment w:val="auto"/>
              <w:rPr>
                <w:rFonts w:ascii="Times New Roman" w:hAnsi="Times New Roman" w:eastAsia="方正仿宋_GBK" w:cs="Times New Roman"/>
              </w:rPr>
            </w:pPr>
            <w:r>
              <w:rPr>
                <w:rFonts w:ascii="Times New Roman" w:hAnsi="Times New Roman" w:eastAsia="方正仿宋_GBK" w:cs="Times New Roman"/>
              </w:rPr>
              <w:t>5000</w:t>
            </w:r>
          </w:p>
        </w:tc>
        <w:tc>
          <w:tcPr>
            <w:tcW w:w="4545" w:type="dxa"/>
            <w:vMerge w:val="restart"/>
            <w:vAlign w:val="center"/>
          </w:tcPr>
          <w:p w14:paraId="43E10027">
            <w:pPr>
              <w:pageBreakBefore w:val="0"/>
              <w:widowControl/>
              <w:kinsoku/>
              <w:overflowPunct/>
              <w:topLinePunct w:val="0"/>
              <w:bidi w:val="0"/>
              <w:spacing w:line="560" w:lineRule="exact"/>
              <w:ind w:left="0" w:leftChars="0" w:right="0" w:rightChars="0"/>
              <w:textAlignment w:val="auto"/>
              <w:rPr>
                <w:rFonts w:ascii="Times New Roman" w:hAnsi="Times New Roman" w:eastAsia="方正仿宋_GBK" w:cs="Times New Roman"/>
                <w:kern w:val="0"/>
                <w:sz w:val="24"/>
              </w:rPr>
            </w:pPr>
            <w:r>
              <w:rPr>
                <w:rFonts w:ascii="Times New Roman" w:hAnsi="Times New Roman" w:eastAsia="方正仿宋_GBK" w:cs="Times New Roman"/>
                <w:kern w:val="0"/>
                <w:sz w:val="24"/>
              </w:rPr>
              <w:t>以依法批准的城乡规划或国土空间规划确定的中心城区规划建设用地为准。</w:t>
            </w:r>
          </w:p>
        </w:tc>
      </w:tr>
      <w:tr w14:paraId="6F55B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atLeast"/>
        </w:trPr>
        <w:tc>
          <w:tcPr>
            <w:tcW w:w="3410" w:type="dxa"/>
            <w:vAlign w:val="center"/>
          </w:tcPr>
          <w:p w14:paraId="44978BBC">
            <w:pPr>
              <w:pageBreakBefore w:val="0"/>
              <w:widowControl/>
              <w:kinsoku/>
              <w:overflowPunct/>
              <w:topLinePunct w:val="0"/>
              <w:bidi w:val="0"/>
              <w:spacing w:line="560" w:lineRule="exact"/>
              <w:ind w:left="0" w:leftChars="0" w:right="0" w:rightChars="0"/>
              <w:jc w:val="left"/>
              <w:textAlignment w:val="auto"/>
              <w:rPr>
                <w:rFonts w:ascii="Times New Roman" w:hAnsi="Times New Roman" w:eastAsia="方正仿宋_GBK" w:cs="Times New Roman"/>
                <w:kern w:val="0"/>
                <w:sz w:val="24"/>
              </w:rPr>
            </w:pPr>
            <w:r>
              <w:rPr>
                <w:rFonts w:ascii="Times New Roman" w:hAnsi="Times New Roman" w:eastAsia="方正仿宋_GBK" w:cs="Times New Roman"/>
                <w:kern w:val="0"/>
                <w:sz w:val="24"/>
              </w:rPr>
              <w:t>中心城区规划建设用地范围外</w:t>
            </w:r>
          </w:p>
        </w:tc>
        <w:tc>
          <w:tcPr>
            <w:tcW w:w="1238" w:type="dxa"/>
            <w:vAlign w:val="center"/>
          </w:tcPr>
          <w:p w14:paraId="3E8DC48C">
            <w:pPr>
              <w:pageBreakBefore w:val="0"/>
              <w:widowControl/>
              <w:kinsoku/>
              <w:overflowPunct/>
              <w:topLinePunct w:val="0"/>
              <w:bidi w:val="0"/>
              <w:spacing w:line="560" w:lineRule="exact"/>
              <w:ind w:left="0" w:leftChars="0" w:right="0" w:rightChars="0"/>
              <w:jc w:val="center"/>
              <w:textAlignment w:val="auto"/>
              <w:rPr>
                <w:rFonts w:ascii="Times New Roman" w:hAnsi="Times New Roman" w:eastAsia="方正仿宋_GBK" w:cs="Times New Roman"/>
                <w:kern w:val="0"/>
                <w:sz w:val="24"/>
              </w:rPr>
            </w:pPr>
            <w:r>
              <w:rPr>
                <w:rFonts w:ascii="Times New Roman" w:hAnsi="Times New Roman" w:eastAsia="方正仿宋_GBK" w:cs="Times New Roman"/>
                <w:color w:val="000000"/>
                <w:kern w:val="0"/>
                <w:sz w:val="24"/>
              </w:rPr>
              <w:t>2800</w:t>
            </w:r>
          </w:p>
        </w:tc>
        <w:tc>
          <w:tcPr>
            <w:tcW w:w="4545" w:type="dxa"/>
            <w:vMerge w:val="continue"/>
          </w:tcPr>
          <w:p w14:paraId="0BA645F5">
            <w:pPr>
              <w:pageBreakBefore w:val="0"/>
              <w:kinsoku/>
              <w:overflowPunct/>
              <w:topLinePunct w:val="0"/>
              <w:autoSpaceDE w:val="0"/>
              <w:bidi w:val="0"/>
              <w:adjustRightInd w:val="0"/>
              <w:snapToGrid w:val="0"/>
              <w:spacing w:line="560" w:lineRule="exact"/>
              <w:ind w:left="0" w:leftChars="0" w:right="0" w:rightChars="0"/>
              <w:jc w:val="left"/>
              <w:textAlignment w:val="auto"/>
              <w:rPr>
                <w:rFonts w:ascii="Times New Roman" w:hAnsi="Times New Roman" w:eastAsia="方正仿宋_GBK" w:cs="Times New Roman"/>
                <w:kern w:val="0"/>
                <w:sz w:val="24"/>
              </w:rPr>
            </w:pPr>
          </w:p>
        </w:tc>
      </w:tr>
    </w:tbl>
    <w:p w14:paraId="587A289F">
      <w:pPr>
        <w:pageBreakBefore w:val="0"/>
        <w:kinsoku/>
        <w:overflowPunct/>
        <w:topLinePunct w:val="0"/>
        <w:bidi w:val="0"/>
        <w:adjustRightInd w:val="0"/>
        <w:snapToGrid w:val="0"/>
        <w:spacing w:line="560" w:lineRule="exact"/>
        <w:ind w:left="0" w:leftChars="0" w:right="0" w:rightChars="0" w:firstLine="480" w:firstLineChars="200"/>
        <w:textAlignment w:val="auto"/>
        <w:rPr>
          <w:rFonts w:ascii="Times New Roman" w:hAnsi="Times New Roman" w:eastAsia="方正仿宋_GBK" w:cs="Times New Roman"/>
          <w:snapToGrid w:val="0"/>
          <w:color w:val="000000"/>
          <w:kern w:val="0"/>
          <w:sz w:val="24"/>
        </w:rPr>
      </w:pPr>
    </w:p>
    <w:p w14:paraId="22110D0D">
      <w:pPr>
        <w:pStyle w:val="13"/>
        <w:pageBreakBefore w:val="0"/>
        <w:kinsoku/>
        <w:overflowPunct/>
        <w:topLinePunct w:val="0"/>
        <w:bidi w:val="0"/>
        <w:spacing w:line="560" w:lineRule="exact"/>
        <w:ind w:left="0" w:leftChars="0" w:right="0" w:rightChars="0"/>
        <w:textAlignment w:val="auto"/>
        <w:rPr>
          <w:rFonts w:ascii="Times New Roman" w:hAnsi="Times New Roman" w:cs="Times New Roman"/>
        </w:rPr>
      </w:pPr>
    </w:p>
    <w:p w14:paraId="67667F98">
      <w:pPr>
        <w:pStyle w:val="13"/>
        <w:pageBreakBefore w:val="0"/>
        <w:kinsoku/>
        <w:overflowPunct/>
        <w:topLinePunct w:val="0"/>
        <w:bidi w:val="0"/>
        <w:spacing w:line="560" w:lineRule="exact"/>
        <w:ind w:left="0" w:leftChars="0" w:right="0" w:rightChars="0"/>
        <w:textAlignment w:val="auto"/>
        <w:rPr>
          <w:rFonts w:ascii="Times New Roman" w:hAnsi="Times New Roman" w:cs="Times New Roman"/>
        </w:rPr>
      </w:pPr>
    </w:p>
    <w:p w14:paraId="3D5D1C9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Times New Roman" w:hAnsi="Times New Roman" w:eastAsia="方正仿宋_GBK" w:cs="Times New Roman"/>
          <w:color w:val="000000"/>
          <w:kern w:val="2"/>
          <w:sz w:val="32"/>
          <w:szCs w:val="24"/>
          <w:lang w:val="en-US" w:eastAsia="zh-CN" w:bidi="ar-SA"/>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embedRegular r:id="rId1" w:fontKey="{8120BA86-2B3B-4AE8-B583-92FB7A99D363}"/>
  </w:font>
  <w:font w:name="方正仿宋_GBK">
    <w:panose1 w:val="03000509000000000000"/>
    <w:charset w:val="86"/>
    <w:family w:val="script"/>
    <w:pitch w:val="default"/>
    <w:sig w:usb0="00000001" w:usb1="080E0000" w:usb2="00000000" w:usb3="00000000" w:csb0="00040000" w:csb1="00000000"/>
    <w:embedRegular r:id="rId2" w:fontKey="{F1DF2D8C-C8E3-4BA5-A09F-431FBE71F805}"/>
  </w:font>
  <w:font w:name="方正黑体_GBK">
    <w:panose1 w:val="03000509000000000000"/>
    <w:charset w:val="86"/>
    <w:family w:val="script"/>
    <w:pitch w:val="default"/>
    <w:sig w:usb0="00000001" w:usb1="080E0000" w:usb2="00000000" w:usb3="00000000" w:csb0="00040000" w:csb1="00000000"/>
    <w:embedRegular r:id="rId3" w:fontKey="{113A79D3-8DD1-4A47-8071-7FDF1ADC1309}"/>
  </w:font>
  <w:font w:name="方正楷体_GBK">
    <w:panose1 w:val="03000509000000000000"/>
    <w:charset w:val="86"/>
    <w:family w:val="script"/>
    <w:pitch w:val="default"/>
    <w:sig w:usb0="00000001" w:usb1="080E0000" w:usb2="00000000" w:usb3="00000000" w:csb0="00040000" w:csb1="00000000"/>
    <w:embedRegular r:id="rId4" w:fontKey="{AE523598-42F4-4001-83E4-8F46298EBD9D}"/>
  </w:font>
  <w:font w:name="仿宋">
    <w:panose1 w:val="02010609060101010101"/>
    <w:charset w:val="86"/>
    <w:family w:val="auto"/>
    <w:pitch w:val="default"/>
    <w:sig w:usb0="800002BF" w:usb1="38CF7CFA" w:usb2="00000016" w:usb3="00000000" w:csb0="00040001" w:csb1="00000000"/>
    <w:embedRegular r:id="rId5" w:fontKey="{4D0F6686-0A4D-4C26-B844-37636EED974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731A9">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2B0729">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14:paraId="5A2B0729">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22BB65D1">
                          <w:pPr>
                            <w:pStyle w:val="6"/>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14:paraId="22BB65D1">
                    <w:pPr>
                      <w:pStyle w:val="6"/>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14:paraId="6F279D69">
    <w:pPr>
      <w:pStyle w:val="7"/>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14:paraId="153EF4E7">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26045">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540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npdHU&#10;AAAABgEAAA8AAAAAAAAAAQAgAAAAIgAAAGRycy9kb3ducmV2LnhtbFBLAQIUABQAAAAIAIdO4kBx&#10;u4Qo6wEAALcDAAAOAAAAAAAAAAEAIAAAACMBAABkcnMvZTJvRG9jLnhtbFBLBQYAAAAABgAGAFkB&#10;AACA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14:paraId="36E75536">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14:paraId="2F753C6F">
                          <w:pPr>
                            <w:pStyle w:val="6"/>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14:paraId="2F753C6F">
                    <w:pPr>
                      <w:pStyle w:val="6"/>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D6EA6">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14:paraId="5F892D02">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7CA388F3">
    <w:pPr>
      <w:pStyle w:val="7"/>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66BC7F95">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0A8B0">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14:paraId="09768372">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7892D08A">
    <w:pPr>
      <w:pStyle w:val="7"/>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15869F65">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1DB21C"/>
    <w:multiLevelType w:val="singleLevel"/>
    <w:tmpl w:val="A21DB21C"/>
    <w:lvl w:ilvl="0" w:tentative="0">
      <w:start w:val="1"/>
      <w:numFmt w:val="chineseCounting"/>
      <w:suff w:val="space"/>
      <w:lvlText w:val="第%1章"/>
      <w:lvlJc w:val="left"/>
      <w:rPr>
        <w:rFonts w:hint="eastAsia" w:ascii="方正黑体_GBK" w:hAnsi="方正黑体_GBK" w:eastAsia="方正黑体_GBK" w:cs="方正黑体_GBK"/>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ZjY0YzNkODU2YjY1NTYwMmJiNTFmZTc1ZTYyOTcifQ=="/>
  </w:docVars>
  <w:rsids>
    <w:rsidRoot w:val="1CE265F1"/>
    <w:rsid w:val="002F4775"/>
    <w:rsid w:val="00300FAB"/>
    <w:rsid w:val="00641361"/>
    <w:rsid w:val="00C8469B"/>
    <w:rsid w:val="055D53FF"/>
    <w:rsid w:val="07267138"/>
    <w:rsid w:val="099B1508"/>
    <w:rsid w:val="09F52559"/>
    <w:rsid w:val="0E7449D6"/>
    <w:rsid w:val="12411D53"/>
    <w:rsid w:val="127F48AC"/>
    <w:rsid w:val="13B85FB7"/>
    <w:rsid w:val="156C2EC6"/>
    <w:rsid w:val="162938B5"/>
    <w:rsid w:val="170E0A5C"/>
    <w:rsid w:val="1792392B"/>
    <w:rsid w:val="17C76AD9"/>
    <w:rsid w:val="1833131B"/>
    <w:rsid w:val="195B1BCF"/>
    <w:rsid w:val="1CE265F1"/>
    <w:rsid w:val="1D774AFE"/>
    <w:rsid w:val="1DBB0E8E"/>
    <w:rsid w:val="1EB678A8"/>
    <w:rsid w:val="1F8350EC"/>
    <w:rsid w:val="203F6942"/>
    <w:rsid w:val="22EE11B0"/>
    <w:rsid w:val="24F8608A"/>
    <w:rsid w:val="2CBC252D"/>
    <w:rsid w:val="2F4F1437"/>
    <w:rsid w:val="2F8D01B1"/>
    <w:rsid w:val="31EC5658"/>
    <w:rsid w:val="32204B21"/>
    <w:rsid w:val="32A22BF5"/>
    <w:rsid w:val="355F3D52"/>
    <w:rsid w:val="364C66D0"/>
    <w:rsid w:val="387168C2"/>
    <w:rsid w:val="38E452E6"/>
    <w:rsid w:val="3A573DDF"/>
    <w:rsid w:val="3BC92571"/>
    <w:rsid w:val="3C9012E0"/>
    <w:rsid w:val="3CEE4FB5"/>
    <w:rsid w:val="3E3C1720"/>
    <w:rsid w:val="4028294B"/>
    <w:rsid w:val="413170E8"/>
    <w:rsid w:val="43142BB6"/>
    <w:rsid w:val="43CD4BC8"/>
    <w:rsid w:val="43F860E9"/>
    <w:rsid w:val="446C62D1"/>
    <w:rsid w:val="447F2366"/>
    <w:rsid w:val="45174411"/>
    <w:rsid w:val="46821C9A"/>
    <w:rsid w:val="46E43D74"/>
    <w:rsid w:val="4F255BD2"/>
    <w:rsid w:val="4FE63299"/>
    <w:rsid w:val="4FF92C9C"/>
    <w:rsid w:val="50591CBD"/>
    <w:rsid w:val="50F9524E"/>
    <w:rsid w:val="517961A1"/>
    <w:rsid w:val="51F837D1"/>
    <w:rsid w:val="52184E4A"/>
    <w:rsid w:val="5479474B"/>
    <w:rsid w:val="5B184523"/>
    <w:rsid w:val="5C11008F"/>
    <w:rsid w:val="5CE056F9"/>
    <w:rsid w:val="612956DC"/>
    <w:rsid w:val="61773FF6"/>
    <w:rsid w:val="6C757CDC"/>
    <w:rsid w:val="70730722"/>
    <w:rsid w:val="721379BE"/>
    <w:rsid w:val="730E31CE"/>
    <w:rsid w:val="74791404"/>
    <w:rsid w:val="777D2475"/>
    <w:rsid w:val="7AFE508C"/>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2">
    <w:name w:val="heading 4"/>
    <w:basedOn w:val="3"/>
    <w:next w:val="1"/>
    <w:qFormat/>
    <w:uiPriority w:val="0"/>
    <w:pPr>
      <w:spacing w:before="280" w:after="290" w:line="376" w:lineRule="auto"/>
      <w:outlineLvl w:val="3"/>
    </w:pPr>
    <w:rPr>
      <w:rFonts w:ascii="Arial" w:hAnsi="Arial" w:eastAsia="黑体"/>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unhideWhenUsed/>
    <w:qFormat/>
    <w:uiPriority w:val="99"/>
    <w:pPr>
      <w:ind w:firstLine="420" w:firstLineChars="200"/>
    </w:pPr>
  </w:style>
  <w:style w:type="paragraph" w:styleId="5">
    <w:name w:val="Body Text"/>
    <w:basedOn w:val="1"/>
    <w:next w:val="1"/>
    <w:qFormat/>
    <w:uiPriority w:val="0"/>
    <w:pPr>
      <w:spacing w:line="276" w:lineRule="auto"/>
    </w:pPr>
    <w:rPr>
      <w:rFonts w:ascii="Times New Roman" w:hAnsi="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character" w:styleId="11">
    <w:name w:val="page number"/>
    <w:basedOn w:val="10"/>
    <w:qFormat/>
    <w:uiPriority w:val="0"/>
    <w:rPr>
      <w:rFonts w:cs="Times New Roman"/>
    </w:rPr>
  </w:style>
  <w:style w:type="paragraph" w:customStyle="1" w:styleId="12">
    <w:name w:val="索引 51"/>
    <w:basedOn w:val="1"/>
    <w:next w:val="1"/>
    <w:qFormat/>
    <w:uiPriority w:val="99"/>
    <w:pPr>
      <w:ind w:left="1680"/>
    </w:pPr>
  </w:style>
  <w:style w:type="paragraph" w:customStyle="1" w:styleId="13">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14">
    <w:name w:val="p0"/>
    <w:basedOn w:val="1"/>
    <w:qFormat/>
    <w:uiPriority w:val="0"/>
    <w:pPr>
      <w:widowControl/>
    </w:pPr>
    <w:rPr>
      <w:kern w:val="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7215</Words>
  <Characters>7390</Characters>
  <Lines>4</Lines>
  <Paragraphs>10</Paragraphs>
  <TotalTime>8</TotalTime>
  <ScaleCrop>false</ScaleCrop>
  <LinksUpToDate>false</LinksUpToDate>
  <CharactersWithSpaces>7555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柏香树</cp:lastModifiedBy>
  <dcterms:modified xsi:type="dcterms:W3CDTF">2025-02-08T02:22:41Z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692C43474FB849C19FBCEA53BC0307CE</vt:lpwstr>
  </property>
  <property fmtid="{D5CDD505-2E9C-101B-9397-08002B2CF9AE}" pid="4" name="KSOTemplateDocerSaveRecord">
    <vt:lpwstr>eyJoZGlkIjoiNjMyMjk4M2Y0Y2VhZmE1MmYyZjVlMWUyOGZkZTMxYTgiLCJ1c2VySWQiOiI0MjY5OTY3NDcifQ==</vt:lpwstr>
  </property>
</Properties>
</file>