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A959A">
      <w:pPr>
        <w:pStyle w:val="15"/>
        <w:keepNext w:val="0"/>
        <w:keepLines w:val="0"/>
        <w:pageBreakBefore w:val="0"/>
        <w:widowControl w:val="0"/>
        <w:kinsoku/>
        <w:wordWrap/>
        <w:overflowPunct/>
        <w:topLinePunct w:val="0"/>
        <w:autoSpaceDN/>
        <w:bidi w:val="0"/>
        <w:snapToGrid/>
        <w:spacing w:line="595" w:lineRule="exact"/>
        <w:ind w:left="0" w:leftChars="0" w:firstLine="0" w:firstLineChars="0"/>
        <w:rPr>
          <w:rFonts w:hint="default"/>
        </w:rPr>
      </w:pPr>
    </w:p>
    <w:p w14:paraId="5F2B943D">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重庆市黔江区人民政府办公室</w:t>
      </w:r>
    </w:p>
    <w:p w14:paraId="0DB90CFF">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重庆市黔江区区级烈士纪念设施</w:t>
      </w:r>
    </w:p>
    <w:p w14:paraId="45AA501D">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评定办法</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的通知</w:t>
      </w:r>
    </w:p>
    <w:p w14:paraId="45852BDF">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黔江府办发〔</w:t>
      </w:r>
      <w:r>
        <w:rPr>
          <w:rFonts w:hint="default" w:ascii="Times New Roman" w:hAnsi="Times New Roman" w:eastAsia="方正仿宋_GBK" w:cs="Times New Roman"/>
          <w:sz w:val="32"/>
          <w:szCs w:val="32"/>
          <w:highlight w:val="none"/>
          <w:lang w:val="en-US" w:eastAsia="zh-CN"/>
        </w:rPr>
        <w:t>2024</w:t>
      </w:r>
      <w:r>
        <w:rPr>
          <w:rFonts w:hint="eastAsia" w:ascii="方正仿宋_GBK" w:hAnsi="方正仿宋_GBK" w:eastAsia="方正仿宋_GBK" w:cs="方正仿宋_GBK"/>
          <w:sz w:val="32"/>
          <w:szCs w:val="32"/>
          <w:highlight w:val="none"/>
          <w:lang w:val="en-US" w:eastAsia="zh-CN"/>
        </w:rPr>
        <w:t>〕</w:t>
      </w:r>
      <w:r>
        <w:rPr>
          <w:rFonts w:hint="eastAsia" w:ascii="Times New Roman" w:hAnsi="Times New Roman" w:eastAsia="方正仿宋_GBK" w:cs="Times New Roman"/>
          <w:sz w:val="32"/>
          <w:szCs w:val="32"/>
          <w:highlight w:val="none"/>
          <w:lang w:val="en-US" w:eastAsia="zh-CN"/>
        </w:rPr>
        <w:t>55</w:t>
      </w:r>
      <w:r>
        <w:rPr>
          <w:rFonts w:hint="eastAsia" w:ascii="方正仿宋_GBK" w:hAnsi="方正仿宋_GBK" w:eastAsia="方正仿宋_GBK" w:cs="方正仿宋_GBK"/>
          <w:sz w:val="32"/>
          <w:szCs w:val="32"/>
          <w:highlight w:val="none"/>
          <w:lang w:val="en-US" w:eastAsia="zh-CN"/>
        </w:rPr>
        <w:t>号</w:t>
      </w:r>
    </w:p>
    <w:p w14:paraId="61CB3F22">
      <w:pPr>
        <w:pStyle w:val="3"/>
        <w:keepNext w:val="0"/>
        <w:keepLines w:val="0"/>
        <w:pageBreakBefore w:val="0"/>
        <w:widowControl w:val="0"/>
        <w:kinsoku/>
        <w:wordWrap/>
        <w:overflowPunct/>
        <w:topLinePunct w:val="0"/>
        <w:autoSpaceDN/>
        <w:bidi w:val="0"/>
        <w:snapToGrid/>
        <w:spacing w:line="595" w:lineRule="exact"/>
        <w:textAlignment w:val="auto"/>
        <w:rPr>
          <w:rFonts w:hint="eastAsia"/>
          <w:lang w:eastAsia="zh-CN"/>
        </w:rPr>
      </w:pPr>
    </w:p>
    <w:p w14:paraId="41AF1DDE">
      <w:pPr>
        <w:keepNext w:val="0"/>
        <w:keepLines w:val="0"/>
        <w:pageBreakBefore w:val="0"/>
        <w:kinsoku/>
        <w:wordWrap/>
        <w:overflowPunct/>
        <w:topLinePunct w:val="0"/>
        <w:bidi w:val="0"/>
        <w:snapToGrid/>
        <w:spacing w:line="595" w:lineRule="exact"/>
        <w:ind w:right="0" w:rightChars="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各乡、镇人民政府，各街道办事处，区政府各部门，有关单位： </w:t>
      </w:r>
    </w:p>
    <w:p w14:paraId="0999285F">
      <w:pPr>
        <w:keepNext w:val="0"/>
        <w:keepLines w:val="0"/>
        <w:pageBreakBefore w:val="0"/>
        <w:kinsoku/>
        <w:wordWrap/>
        <w:overflowPunct/>
        <w:topLinePunct w:val="0"/>
        <w:bidi w:val="0"/>
        <w:snapToGrid/>
        <w:spacing w:line="595" w:lineRule="exact"/>
        <w:ind w:right="0" w:rightChars="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val="0"/>
          <w:bCs w:val="0"/>
          <w:color w:val="000000"/>
          <w:kern w:val="2"/>
          <w:sz w:val="32"/>
          <w:szCs w:val="32"/>
          <w:highlight w:val="none"/>
          <w:lang w:val="en-US" w:eastAsia="zh-CN" w:bidi="ar-SA"/>
        </w:rPr>
        <w:t>经区政府同意，现将《重庆市黔江区区级烈士纪念设施评定办法》印发给你们，请认真贯彻</w:t>
      </w:r>
      <w:r>
        <w:rPr>
          <w:rFonts w:hint="eastAsia" w:eastAsia="方正仿宋_GBK" w:cs="Times New Roman"/>
          <w:b w:val="0"/>
          <w:bCs w:val="0"/>
          <w:color w:val="000000"/>
          <w:kern w:val="2"/>
          <w:sz w:val="32"/>
          <w:szCs w:val="32"/>
          <w:highlight w:val="none"/>
          <w:lang w:val="en-US" w:eastAsia="zh-CN" w:bidi="ar-SA"/>
        </w:rPr>
        <w:t>执行</w:t>
      </w:r>
      <w:r>
        <w:rPr>
          <w:rFonts w:hint="default" w:ascii="Times New Roman" w:hAnsi="Times New Roman" w:eastAsia="方正仿宋_GBK" w:cs="Times New Roman"/>
          <w:color w:val="auto"/>
          <w:sz w:val="32"/>
          <w:szCs w:val="32"/>
          <w:lang w:val="en-US" w:eastAsia="zh-CN"/>
        </w:rPr>
        <w:t>。</w:t>
      </w:r>
    </w:p>
    <w:p w14:paraId="0B5FD8DB">
      <w:pPr>
        <w:pStyle w:val="3"/>
        <w:keepNext w:val="0"/>
        <w:keepLines w:val="0"/>
        <w:pageBreakBefore w:val="0"/>
        <w:numPr>
          <w:ilvl w:val="0"/>
          <w:numId w:val="0"/>
        </w:numPr>
        <w:kinsoku/>
        <w:wordWrap/>
        <w:overflowPunct/>
        <w:topLinePunct w:val="0"/>
        <w:bidi w:val="0"/>
        <w:snapToGrid/>
        <w:spacing w:line="595" w:lineRule="exact"/>
        <w:ind w:right="0" w:rightChars="0"/>
        <w:textAlignment w:val="auto"/>
        <w:rPr>
          <w:rFonts w:hint="default" w:ascii="Times New Roman" w:hAnsi="Times New Roman" w:eastAsia="方正仿宋_GBK" w:cs="Times New Roman"/>
          <w:color w:val="auto"/>
          <w:sz w:val="32"/>
          <w:szCs w:val="32"/>
          <w:lang w:val="en-US" w:eastAsia="zh-CN"/>
        </w:rPr>
      </w:pPr>
    </w:p>
    <w:p w14:paraId="58A45EBC">
      <w:pPr>
        <w:keepNext w:val="0"/>
        <w:keepLines w:val="0"/>
        <w:pageBreakBefore w:val="0"/>
        <w:kinsoku/>
        <w:wordWrap/>
        <w:overflowPunct/>
        <w:topLinePunct w:val="0"/>
        <w:bidi w:val="0"/>
        <w:snapToGrid/>
        <w:spacing w:line="595" w:lineRule="exact"/>
        <w:textAlignment w:val="auto"/>
        <w:rPr>
          <w:rFonts w:hint="default"/>
          <w:lang w:val="en-US" w:eastAsia="zh-CN"/>
        </w:rPr>
      </w:pPr>
    </w:p>
    <w:p w14:paraId="4D5FB452">
      <w:pPr>
        <w:pStyle w:val="24"/>
        <w:keepNext w:val="0"/>
        <w:keepLines w:val="0"/>
        <w:pageBreakBefore w:val="0"/>
        <w:kinsoku/>
        <w:wordWrap/>
        <w:overflowPunct/>
        <w:topLinePunct w:val="0"/>
        <w:bidi w:val="0"/>
        <w:snapToGrid/>
        <w:spacing w:line="595" w:lineRule="exact"/>
        <w:ind w:right="0" w:rightChars="0" w:firstLine="3840" w:firstLineChars="12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 xml:space="preserve">重庆市黔江区人民政府办公室 </w:t>
      </w:r>
    </w:p>
    <w:p w14:paraId="58072926">
      <w:pPr>
        <w:pStyle w:val="24"/>
        <w:keepNext w:val="0"/>
        <w:keepLines w:val="0"/>
        <w:pageBreakBefore w:val="0"/>
        <w:kinsoku/>
        <w:wordWrap/>
        <w:overflowPunct/>
        <w:topLinePunct w:val="0"/>
        <w:bidi w:val="0"/>
        <w:snapToGrid/>
        <w:spacing w:line="595" w:lineRule="exact"/>
        <w:ind w:right="0" w:rightChars="0" w:firstLine="4800" w:firstLineChars="15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202</w:t>
      </w:r>
      <w:r>
        <w:rPr>
          <w:rFonts w:hint="eastAsia" w:ascii="Times New Roman" w:hAnsi="Times New Roman" w:eastAsia="方正仿宋_GBK" w:cs="Times New Roman"/>
          <w:color w:val="auto"/>
          <w:kern w:val="2"/>
          <w:sz w:val="32"/>
          <w:szCs w:val="32"/>
          <w:lang w:val="en-US" w:eastAsia="zh-CN" w:bidi="ar-SA"/>
        </w:rPr>
        <w:t>4</w:t>
      </w:r>
      <w:r>
        <w:rPr>
          <w:rFonts w:hint="default" w:ascii="Times New Roman" w:hAnsi="Times New Roman" w:eastAsia="方正仿宋_GBK" w:cs="Times New Roman"/>
          <w:color w:val="auto"/>
          <w:kern w:val="2"/>
          <w:sz w:val="32"/>
          <w:szCs w:val="32"/>
          <w:lang w:val="en-US" w:eastAsia="zh-CN" w:bidi="ar-SA"/>
        </w:rPr>
        <w:t>年</w:t>
      </w:r>
      <w:r>
        <w:rPr>
          <w:rFonts w:hint="eastAsia" w:ascii="Times New Roman" w:hAnsi="Times New Roman" w:eastAsia="方正仿宋_GBK" w:cs="Times New Roman"/>
          <w:color w:val="auto"/>
          <w:kern w:val="2"/>
          <w:sz w:val="32"/>
          <w:szCs w:val="32"/>
          <w:lang w:val="en-US" w:eastAsia="zh-CN" w:bidi="ar-SA"/>
        </w:rPr>
        <w:t>11</w:t>
      </w:r>
      <w:r>
        <w:rPr>
          <w:rFonts w:hint="default" w:ascii="Times New Roman" w:hAnsi="Times New Roman" w:eastAsia="方正仿宋_GBK" w:cs="Times New Roman"/>
          <w:color w:val="auto"/>
          <w:kern w:val="2"/>
          <w:sz w:val="32"/>
          <w:szCs w:val="32"/>
          <w:lang w:val="en-US" w:eastAsia="zh-CN" w:bidi="ar-SA"/>
        </w:rPr>
        <w:t>月</w:t>
      </w:r>
      <w:r>
        <w:rPr>
          <w:rFonts w:hint="eastAsia" w:ascii="Times New Roman" w:hAnsi="Times New Roman" w:eastAsia="方正仿宋_GBK" w:cs="Times New Roman"/>
          <w:color w:val="auto"/>
          <w:kern w:val="2"/>
          <w:sz w:val="32"/>
          <w:szCs w:val="32"/>
          <w:lang w:val="en-US" w:eastAsia="zh-CN" w:bidi="ar-SA"/>
        </w:rPr>
        <w:t>19</w:t>
      </w:r>
      <w:r>
        <w:rPr>
          <w:rFonts w:hint="default" w:ascii="Times New Roman" w:hAnsi="Times New Roman" w:eastAsia="方正仿宋_GBK" w:cs="Times New Roman"/>
          <w:color w:val="auto"/>
          <w:kern w:val="2"/>
          <w:sz w:val="32"/>
          <w:szCs w:val="32"/>
          <w:lang w:val="en-US" w:eastAsia="zh-CN" w:bidi="ar-SA"/>
        </w:rPr>
        <w:t xml:space="preserve">日 </w:t>
      </w:r>
    </w:p>
    <w:p w14:paraId="3D940976">
      <w:pPr>
        <w:keepNext w:val="0"/>
        <w:keepLines w:val="0"/>
        <w:pageBreakBefore w:val="0"/>
        <w:kinsoku/>
        <w:wordWrap/>
        <w:overflowPunct/>
        <w:topLinePunct w:val="0"/>
        <w:bidi w:val="0"/>
        <w:snapToGrid/>
        <w:spacing w:line="595" w:lineRule="exact"/>
        <w:ind w:right="0" w:rightChars="0" w:firstLine="640" w:firstLineChars="200"/>
        <w:textAlignment w:val="auto"/>
        <w:rPr>
          <w:rFonts w:hint="default" w:ascii="Times New Roman" w:hAnsi="Times New Roman" w:eastAsia="方正仿宋_GBK" w:cs="Times New Roman"/>
          <w:b w:val="0"/>
          <w:bCs w:val="0"/>
          <w:color w:val="000000"/>
          <w:kern w:val="2"/>
          <w:sz w:val="32"/>
          <w:szCs w:val="32"/>
          <w:highlight w:val="none"/>
          <w:lang w:val="en-US" w:eastAsia="zh-CN" w:bidi="ar-SA"/>
        </w:rPr>
      </w:pPr>
    </w:p>
    <w:p w14:paraId="2D191624">
      <w:pPr>
        <w:keepNext w:val="0"/>
        <w:keepLines w:val="0"/>
        <w:pageBreakBefore w:val="0"/>
        <w:kinsoku/>
        <w:wordWrap/>
        <w:overflowPunct/>
        <w:topLinePunct w:val="0"/>
        <w:bidi w:val="0"/>
        <w:snapToGrid/>
        <w:spacing w:line="595" w:lineRule="exact"/>
        <w:ind w:right="0" w:rightChars="0" w:firstLine="640" w:firstLineChars="200"/>
        <w:textAlignment w:val="auto"/>
        <w:rPr>
          <w:rFonts w:hint="default" w:ascii="Times New Roman" w:hAnsi="Times New Roman" w:eastAsia="方正仿宋_GBK" w:cs="Times New Roman"/>
          <w:b w:val="0"/>
          <w:bCs w:val="0"/>
          <w:color w:val="000000"/>
          <w:kern w:val="2"/>
          <w:sz w:val="32"/>
          <w:szCs w:val="32"/>
          <w:highlight w:val="none"/>
          <w:lang w:val="en-US" w:eastAsia="zh-CN" w:bidi="ar-SA"/>
        </w:rPr>
      </w:pPr>
      <w:r>
        <w:rPr>
          <w:rFonts w:hint="default" w:ascii="Times New Roman" w:hAnsi="Times New Roman" w:eastAsia="方正仿宋_GBK" w:cs="Times New Roman"/>
          <w:b w:val="0"/>
          <w:bCs w:val="0"/>
          <w:color w:val="000000"/>
          <w:kern w:val="2"/>
          <w:sz w:val="32"/>
          <w:szCs w:val="32"/>
          <w:highlight w:val="none"/>
          <w:lang w:val="en-US" w:eastAsia="zh-CN" w:bidi="ar-SA"/>
        </w:rPr>
        <w:t>（此件公开</w:t>
      </w:r>
      <w:r>
        <w:rPr>
          <w:rFonts w:hint="eastAsia" w:eastAsia="方正仿宋_GBK" w:cs="Times New Roman"/>
          <w:b w:val="0"/>
          <w:bCs w:val="0"/>
          <w:color w:val="000000"/>
          <w:kern w:val="2"/>
          <w:sz w:val="32"/>
          <w:szCs w:val="32"/>
          <w:highlight w:val="none"/>
          <w:lang w:val="en-US" w:eastAsia="zh-CN" w:bidi="ar-SA"/>
        </w:rPr>
        <w:t>发布</w:t>
      </w:r>
      <w:r>
        <w:rPr>
          <w:rFonts w:hint="default" w:ascii="Times New Roman" w:hAnsi="Times New Roman" w:eastAsia="方正仿宋_GBK" w:cs="Times New Roman"/>
          <w:b w:val="0"/>
          <w:bCs w:val="0"/>
          <w:color w:val="000000"/>
          <w:kern w:val="2"/>
          <w:sz w:val="32"/>
          <w:szCs w:val="32"/>
          <w:highlight w:val="none"/>
          <w:lang w:val="en-US" w:eastAsia="zh-CN" w:bidi="ar-SA"/>
        </w:rPr>
        <w:t>）</w:t>
      </w:r>
    </w:p>
    <w:p w14:paraId="57CEEBAE">
      <w:pPr>
        <w:pStyle w:val="24"/>
        <w:keepNext w:val="0"/>
        <w:keepLines w:val="0"/>
        <w:pageBreakBefore w:val="0"/>
        <w:widowControl w:val="0"/>
        <w:kinsoku/>
        <w:wordWrap/>
        <w:overflowPunct/>
        <w:topLinePunct w:val="0"/>
        <w:bidi w:val="0"/>
        <w:snapToGrid/>
        <w:spacing w:line="595" w:lineRule="exact"/>
        <w:jc w:val="center"/>
        <w:textAlignment w:val="auto"/>
        <w:rPr>
          <w:rFonts w:hint="default" w:ascii="Times New Roman" w:hAnsi="Times New Roman" w:eastAsia="方正小标宋_GBK" w:cs="Times New Roman"/>
          <w:sz w:val="44"/>
          <w:szCs w:val="44"/>
          <w:lang w:val="en-US" w:eastAsia="zh-CN"/>
        </w:rPr>
      </w:pPr>
    </w:p>
    <w:p w14:paraId="76B49695">
      <w:pPr>
        <w:pStyle w:val="24"/>
        <w:keepNext w:val="0"/>
        <w:keepLines w:val="0"/>
        <w:pageBreakBefore w:val="0"/>
        <w:widowControl w:val="0"/>
        <w:kinsoku/>
        <w:wordWrap/>
        <w:overflowPunct/>
        <w:topLinePunct w:val="0"/>
        <w:bidi w:val="0"/>
        <w:snapToGrid/>
        <w:spacing w:line="595" w:lineRule="exact"/>
        <w:jc w:val="center"/>
        <w:textAlignment w:val="auto"/>
        <w:rPr>
          <w:rFonts w:hint="default" w:ascii="Times New Roman" w:hAnsi="Times New Roman" w:eastAsia="方正小标宋_GBK" w:cs="Times New Roman"/>
          <w:sz w:val="44"/>
          <w:szCs w:val="44"/>
          <w:lang w:val="en-US" w:eastAsia="zh-CN"/>
        </w:rPr>
      </w:pPr>
    </w:p>
    <w:p w14:paraId="38B0CB48">
      <w:pPr>
        <w:pStyle w:val="24"/>
        <w:keepNext w:val="0"/>
        <w:keepLines w:val="0"/>
        <w:pageBreakBefore w:val="0"/>
        <w:widowControl w:val="0"/>
        <w:kinsoku/>
        <w:wordWrap/>
        <w:overflowPunct/>
        <w:topLinePunct w:val="0"/>
        <w:bidi w:val="0"/>
        <w:snapToGrid/>
        <w:spacing w:line="595" w:lineRule="exact"/>
        <w:jc w:val="both"/>
        <w:textAlignment w:val="auto"/>
        <w:rPr>
          <w:rFonts w:hint="default" w:ascii="Times New Roman" w:hAnsi="Times New Roman" w:eastAsia="方正小标宋_GBK" w:cs="Times New Roman"/>
          <w:sz w:val="44"/>
          <w:szCs w:val="44"/>
          <w:lang w:val="en-US" w:eastAsia="zh-CN"/>
        </w:rPr>
      </w:pPr>
    </w:p>
    <w:p w14:paraId="24149C29">
      <w:pPr>
        <w:pStyle w:val="24"/>
        <w:keepNext w:val="0"/>
        <w:keepLines w:val="0"/>
        <w:pageBreakBefore w:val="0"/>
        <w:widowControl w:val="0"/>
        <w:kinsoku/>
        <w:wordWrap/>
        <w:overflowPunct/>
        <w:topLinePunct w:val="0"/>
        <w:bidi w:val="0"/>
        <w:snapToGrid/>
        <w:spacing w:line="595" w:lineRule="exact"/>
        <w:jc w:val="center"/>
        <w:textAlignment w:val="auto"/>
        <w:rPr>
          <w:rFonts w:hint="default" w:ascii="Times New Roman" w:hAnsi="Times New Roman" w:eastAsia="方正小标宋_GBK" w:cs="Times New Roman"/>
          <w:sz w:val="44"/>
          <w:szCs w:val="44"/>
          <w:lang w:val="en-US" w:eastAsia="zh-CN"/>
        </w:rPr>
      </w:pPr>
    </w:p>
    <w:p w14:paraId="753CDFD2">
      <w:pPr>
        <w:pStyle w:val="24"/>
        <w:keepNext w:val="0"/>
        <w:keepLines w:val="0"/>
        <w:pageBreakBefore w:val="0"/>
        <w:widowControl w:val="0"/>
        <w:kinsoku/>
        <w:wordWrap/>
        <w:overflowPunct/>
        <w:topLinePunct w:val="0"/>
        <w:bidi w:val="0"/>
        <w:snapToGrid/>
        <w:spacing w:line="595"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重庆市黔江区区级烈士纪念设施评定办法</w:t>
      </w:r>
    </w:p>
    <w:p w14:paraId="708E5F98">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p>
    <w:p w14:paraId="100ED4DD">
      <w:pPr>
        <w:keepNext w:val="0"/>
        <w:keepLines w:val="0"/>
        <w:pageBreakBefore w:val="0"/>
        <w:widowControl w:val="0"/>
        <w:numPr>
          <w:ilvl w:val="0"/>
          <w:numId w:val="2"/>
        </w:numPr>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sz w:val="32"/>
          <w:szCs w:val="32"/>
          <w:lang w:val="en-US" w:eastAsia="zh-CN"/>
        </w:rPr>
        <w:t xml:space="preserve"> 制定</w:t>
      </w:r>
      <w:r>
        <w:rPr>
          <w:rFonts w:hint="eastAsia" w:ascii="方正黑体_GBK" w:hAnsi="方正黑体_GBK" w:eastAsia="方正黑体_GBK" w:cs="方正黑体_GBK"/>
          <w:kern w:val="2"/>
          <w:sz w:val="32"/>
          <w:szCs w:val="32"/>
          <w:lang w:val="en-US" w:eastAsia="zh-CN" w:bidi="ar-SA"/>
        </w:rPr>
        <w:t>依据</w:t>
      </w:r>
    </w:p>
    <w:p w14:paraId="12A0E68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加强烈士纪念设施保护管理，传承弘扬英烈精神和爱国主义精神，更好发挥烈士纪念设施褒扬英烈、教育后人的红色资源作用，根据《中华人民共和国英雄烈士保护法》《烈士褒扬条例》《烈士纪念设施保护管理办法》《重庆市烈士纪念设施分级保护管理办法》等有关法律法规精神，结合本区实施，制定本办法。</w:t>
      </w:r>
    </w:p>
    <w:p w14:paraId="4ACF4173">
      <w:pPr>
        <w:keepNext w:val="0"/>
        <w:keepLines w:val="0"/>
        <w:pageBreakBefore w:val="0"/>
        <w:widowControl w:val="0"/>
        <w:numPr>
          <w:ilvl w:val="0"/>
          <w:numId w:val="2"/>
        </w:numPr>
        <w:kinsoku/>
        <w:wordWrap/>
        <w:overflowPunct/>
        <w:topLinePunct w:val="0"/>
        <w:autoSpaceDE/>
        <w:autoSpaceDN/>
        <w:bidi w:val="0"/>
        <w:adjustRightInd/>
        <w:snapToGrid/>
        <w:spacing w:line="595" w:lineRule="exact"/>
        <w:ind w:left="0" w:leftChars="0"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 xml:space="preserve"> 申报对象</w:t>
      </w:r>
    </w:p>
    <w:p w14:paraId="26F9F51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区范围内的烈士纪念设施（烈士纪念设施指：按照国家有关规定为纪念缅怀英烈专门修建的烈士陵园、烈士墓、烈士骨灰堂、烈士英名墙、纪念堂馆、纪念碑亭、纪念塔祠、纪念塑像、纪念广场等设施），符合下列条件之一的，可以申报为区级烈士纪念设施。　　</w:t>
      </w:r>
    </w:p>
    <w:p w14:paraId="5C9843C6">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（一）为纪念在中国革命、建设、改革等各个历史时期发生在我区的重大事件、重要战役和革命斗争中牺牲的烈士而修建的烈士纪念设施。</w:t>
      </w:r>
    </w:p>
    <w:p w14:paraId="7540B6B0">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（二）为纪念在我区有重要影响的著名烈士而修建的烈士纪念设施。</w:t>
      </w:r>
    </w:p>
    <w:p w14:paraId="3AA3B359">
      <w:pPr>
        <w:keepNext w:val="0"/>
        <w:keepLines w:val="0"/>
        <w:pageBreakBefore w:val="0"/>
        <w:widowControl w:val="0"/>
        <w:kinsoku/>
        <w:wordWrap/>
        <w:overflowPunct/>
        <w:topLinePunct w:val="0"/>
        <w:autoSpaceDE/>
        <w:autoSpaceDN/>
        <w:bidi w:val="0"/>
        <w:adjustRightInd/>
        <w:snapToGrid/>
        <w:spacing w:line="595" w:lineRule="exact"/>
        <w:ind w:firstLine="644"/>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（三）安葬烈士较多或设施规模较大，“褒扬英烈、教育后人的红色主阵地作用”功能发挥较好的烈士纪念设施。</w:t>
      </w:r>
    </w:p>
    <w:p w14:paraId="3490AFC4">
      <w:pPr>
        <w:keepNext w:val="0"/>
        <w:keepLines w:val="0"/>
        <w:pageBreakBefore w:val="0"/>
        <w:widowControl w:val="0"/>
        <w:kinsoku/>
        <w:wordWrap/>
        <w:overflowPunct/>
        <w:topLinePunct w:val="0"/>
        <w:autoSpaceDE/>
        <w:autoSpaceDN/>
        <w:bidi w:val="0"/>
        <w:adjustRightInd/>
        <w:snapToGrid/>
        <w:spacing w:line="595" w:lineRule="exact"/>
        <w:ind w:firstLine="644"/>
        <w:textAlignment w:val="auto"/>
        <w:rPr>
          <w:rFonts w:hint="default" w:ascii="Times New Roman" w:hAnsi="Times New Roman" w:eastAsia="方正仿宋_GBK" w:cs="Times New Roman"/>
          <w:sz w:val="32"/>
          <w:szCs w:val="32"/>
          <w:lang w:val="en-US" w:eastAsia="zh-CN"/>
        </w:rPr>
      </w:pPr>
      <w:r>
        <w:rPr>
          <w:rFonts w:hint="eastAsia" w:ascii="方正黑体_GBK" w:hAnsi="方正黑体_GBK" w:eastAsia="方正黑体_GBK" w:cs="方正黑体_GBK"/>
          <w:sz w:val="32"/>
          <w:szCs w:val="32"/>
          <w:lang w:val="en-US" w:eastAsia="zh-CN"/>
        </w:rPr>
        <w:t>第三条  申报材料</w:t>
      </w:r>
    </w:p>
    <w:p w14:paraId="7F84BAEC">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（一）烈士纪念设施基本情况（含烈士纪念设施名称、纪念的主要历史事件、安葬的主要烈士的情况介绍以及现状照片）；</w:t>
      </w:r>
    </w:p>
    <w:p w14:paraId="6B4A37A5">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（二）烈士纪念设施保护单位或者管理单位情况；</w:t>
      </w:r>
    </w:p>
    <w:p w14:paraId="351BD5D7">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（三）烈士纪念设施建设批准相关材料和维修保护情况；</w:t>
      </w:r>
    </w:p>
    <w:p w14:paraId="3EBF390F">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（四）烈士纪念设施建设规划平面图；</w:t>
      </w:r>
    </w:p>
    <w:p w14:paraId="23A9B93D">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（五）土地使用权属（不动产权属）和保护范围证明材料；</w:t>
      </w:r>
    </w:p>
    <w:p w14:paraId="676AAC7E">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（六）褒扬教育作用发挥情况；</w:t>
      </w:r>
    </w:p>
    <w:p w14:paraId="72FD91B4">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（七）法律、法规、规章规定需要提供的其他资料。</w:t>
      </w:r>
    </w:p>
    <w:p w14:paraId="35454E0B">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第四条  评定标准</w:t>
      </w:r>
    </w:p>
    <w:p w14:paraId="31D134D3">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烈士纪念设施所在地人民政府（街道办事处）将烈士纪念设施的建设和保护纳入当地国民经济和社会发展整体规划；将烈士纪念设施保护工作经费纳入本级财政预算或有专项经费保障；烈士纪念设施有确定的使用权属，规划布局合理，庄严肃穆，整洁清净；充分发挥“褒扬烈士、教育群众”的作用，经常性开展祭扫活动和主题活动；近三年内未发生违规违纪问题。</w:t>
      </w:r>
    </w:p>
    <w:p w14:paraId="4B255A3F">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评定标准详见《黔江区申报区级烈士纪念设施评分表》（附件2），得分达到80分以上为区级烈士纪念设施评定的基本条件。</w:t>
      </w:r>
    </w:p>
    <w:p w14:paraId="629B1492">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第五条 申报程序</w:t>
      </w:r>
    </w:p>
    <w:p w14:paraId="2C561869">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自评申报。区级以下烈士纪念设施管理单位按有关规定收集相关材料，填写《申报区级烈士纪念设施相关信息资料采集表》（附件1）、《黔江区申报区级烈士纪念设施评分表》自评得分（附件2），并以书面请示的形式向区退役军人事务局提出申请。</w:t>
      </w:r>
    </w:p>
    <w:p w14:paraId="5DB47E97">
      <w:pPr>
        <w:keepNext w:val="0"/>
        <w:keepLines w:val="0"/>
        <w:pageBreakBefore w:val="0"/>
        <w:widowControl w:val="0"/>
        <w:kinsoku/>
        <w:wordWrap/>
        <w:overflowPunct/>
        <w:topLinePunct w:val="0"/>
        <w:autoSpaceDE/>
        <w:autoSpaceDN/>
        <w:bidi w:val="0"/>
        <w:adjustRightInd/>
        <w:snapToGrid/>
        <w:spacing w:line="595" w:lineRule="exact"/>
        <w:ind w:firstLine="644"/>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（二）材料初审。区退役军人事务局对区级以下烈士纪念设施管理单位的申报材料进行初审，提出初审意见。对需补充材料的，提出补充材料的办理意见；不符合条件的，将相关材料退还申报单位。</w:t>
      </w:r>
    </w:p>
    <w:p w14:paraId="3C7B4B8A">
      <w:pPr>
        <w:keepNext w:val="0"/>
        <w:keepLines w:val="0"/>
        <w:pageBreakBefore w:val="0"/>
        <w:widowControl w:val="0"/>
        <w:kinsoku/>
        <w:wordWrap/>
        <w:overflowPunct/>
        <w:topLinePunct w:val="0"/>
        <w:autoSpaceDE/>
        <w:autoSpaceDN/>
        <w:bidi w:val="0"/>
        <w:adjustRightInd/>
        <w:snapToGrid/>
        <w:spacing w:line="595" w:lineRule="exact"/>
        <w:ind w:firstLine="644"/>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（三）勘察考评。区退役军人事务局会同宣传、文化旅游、党史研究等部门以及检察机关进行实地勘查考评，提出考评意见。     </w:t>
      </w:r>
    </w:p>
    <w:p w14:paraId="63C24179">
      <w:pPr>
        <w:keepNext w:val="0"/>
        <w:keepLines w:val="0"/>
        <w:pageBreakBefore w:val="0"/>
        <w:widowControl w:val="0"/>
        <w:kinsoku/>
        <w:wordWrap/>
        <w:overflowPunct/>
        <w:topLinePunct w:val="0"/>
        <w:autoSpaceDE/>
        <w:autoSpaceDN/>
        <w:bidi w:val="0"/>
        <w:adjustRightInd/>
        <w:snapToGrid/>
        <w:spacing w:line="595" w:lineRule="exact"/>
        <w:ind w:firstLine="644"/>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（四）拟办意见。区退役军人事务局根据考评意见，对同意确认为区级烈士纪念设施的，在区人民政府官方网站公示一周。经公示无异议的，以书面请示的形式向区人民政府提出申请批准。</w:t>
      </w:r>
    </w:p>
    <w:p w14:paraId="3026C4E8">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（五）审批公布。区人民政府对区退役军人事务局上报材料进行审批，批准为区级烈士纪念设施的由区退役军人事务局公布。</w:t>
      </w:r>
    </w:p>
    <w:p w14:paraId="7F88DA53">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（六）备案。区退役军人事务局应在二十个工作日内将公布为区级烈士纪念设施的相关情况报市退役军人事务局备案。 </w:t>
      </w:r>
    </w:p>
    <w:p w14:paraId="47BC52C2">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本办法自2024年</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 xml:space="preserve">日起施行。                                         </w:t>
      </w:r>
    </w:p>
    <w:p w14:paraId="6E69382D">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lang w:val="en-US" w:eastAsia="zh-CN"/>
        </w:rPr>
      </w:pPr>
    </w:p>
    <w:p w14:paraId="7B07C75E">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  1.申报区级烈士纪念设施相关信息资料采集表</w:t>
      </w:r>
    </w:p>
    <w:p w14:paraId="45927D6A">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2.黔江区申报区级烈士纪念设施评分表</w:t>
      </w:r>
    </w:p>
    <w:p w14:paraId="405093D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1600" w:firstLineChars="500"/>
        <w:textAlignment w:val="auto"/>
        <w:rPr>
          <w:rFonts w:hint="default" w:ascii="Times New Roman" w:hAnsi="Times New Roman" w:cs="Times New Roman"/>
          <w:lang w:val="en-US" w:eastAsia="zh-CN"/>
        </w:rPr>
      </w:pPr>
      <w:r>
        <w:rPr>
          <w:rFonts w:hint="default" w:ascii="Times New Roman" w:hAnsi="Times New Roman" w:eastAsia="方正仿宋_GBK" w:cs="Times New Roman"/>
          <w:sz w:val="32"/>
          <w:szCs w:val="32"/>
          <w:lang w:val="en-US" w:eastAsia="zh-CN"/>
        </w:rPr>
        <w:t>3.申报区级烈士纪念设施考评意见表</w:t>
      </w:r>
    </w:p>
    <w:p w14:paraId="7625E5AE">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5EDABCF6">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6D557445">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1C6D90AF">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445E1917">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07CAE507">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27AE5BD2">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0502DFC8">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133DF852">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203C3EF1">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1A32C852">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10ADEA8D">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2821EF37">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77BB316A">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7A1AB9D4">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6CBE2FFF">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p>
    <w:p w14:paraId="0584F1AE">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附件1</w:t>
      </w:r>
    </w:p>
    <w:p w14:paraId="5E90E771">
      <w:pPr>
        <w:pStyle w:val="24"/>
        <w:keepNext w:val="0"/>
        <w:keepLines w:val="0"/>
        <w:pageBreakBefore w:val="0"/>
        <w:widowControl w:val="0"/>
        <w:kinsoku/>
        <w:wordWrap/>
        <w:overflowPunct/>
        <w:topLinePunct w:val="0"/>
        <w:bidi w:val="0"/>
        <w:snapToGrid/>
        <w:spacing w:line="579" w:lineRule="exact"/>
        <w:textAlignment w:val="auto"/>
        <w:rPr>
          <w:rFonts w:hint="default" w:ascii="Times New Roman" w:hAnsi="Times New Roman" w:cs="Times New Roman"/>
          <w:lang w:val="en-US" w:eastAsia="zh-CN"/>
        </w:rPr>
      </w:pPr>
    </w:p>
    <w:p w14:paraId="7A6F2358">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val="0"/>
        <w:spacing w:before="0" w:beforeAutospacing="0" w:after="0" w:afterAutospacing="0" w:line="690" w:lineRule="atLeast"/>
        <w:ind w:left="0" w:right="0" w:firstLine="0"/>
        <w:jc w:val="center"/>
        <w:rPr>
          <w:rFonts w:hint="eastAsia" w:ascii="方正黑体_GBK" w:hAnsi="方正黑体_GBK" w:eastAsia="方正黑体_GBK" w:cs="方正黑体_GBK"/>
          <w:i w:val="0"/>
          <w:iCs w:val="0"/>
          <w:caps w:val="0"/>
          <w:color w:val="333333"/>
          <w:spacing w:val="0"/>
          <w:sz w:val="44"/>
          <w:szCs w:val="44"/>
        </w:rPr>
      </w:pPr>
      <w:r>
        <w:rPr>
          <w:rFonts w:hint="eastAsia" w:ascii="方正黑体_GBK" w:hAnsi="方正黑体_GBK" w:eastAsia="方正黑体_GBK" w:cs="方正黑体_GBK"/>
          <w:i w:val="0"/>
          <w:iCs w:val="0"/>
          <w:caps w:val="0"/>
          <w:color w:val="333333"/>
          <w:spacing w:val="0"/>
          <w:sz w:val="44"/>
          <w:szCs w:val="44"/>
          <w:shd w:val="clear" w:color="auto" w:fill="FFFFFF"/>
        </w:rPr>
        <w:t>申报</w:t>
      </w:r>
      <w:r>
        <w:rPr>
          <w:rFonts w:hint="eastAsia" w:ascii="方正黑体_GBK" w:hAnsi="方正黑体_GBK" w:eastAsia="方正黑体_GBK" w:cs="方正黑体_GBK"/>
          <w:i w:val="0"/>
          <w:iCs w:val="0"/>
          <w:caps w:val="0"/>
          <w:color w:val="333333"/>
          <w:spacing w:val="0"/>
          <w:sz w:val="44"/>
          <w:szCs w:val="44"/>
          <w:shd w:val="clear" w:color="auto" w:fill="FFFFFF"/>
          <w:lang w:val="en-US" w:eastAsia="zh-CN"/>
        </w:rPr>
        <w:t>区</w:t>
      </w:r>
      <w:r>
        <w:rPr>
          <w:rFonts w:hint="eastAsia" w:ascii="方正黑体_GBK" w:hAnsi="方正黑体_GBK" w:eastAsia="方正黑体_GBK" w:cs="方正黑体_GBK"/>
          <w:i w:val="0"/>
          <w:iCs w:val="0"/>
          <w:caps w:val="0"/>
          <w:color w:val="333333"/>
          <w:spacing w:val="0"/>
          <w:sz w:val="44"/>
          <w:szCs w:val="44"/>
          <w:shd w:val="clear" w:color="auto" w:fill="FFFFFF"/>
        </w:rPr>
        <w:t>级烈士纪念设施相关信息资料采集表</w:t>
      </w:r>
    </w:p>
    <w:tbl>
      <w:tblPr>
        <w:tblStyle w:val="16"/>
        <w:tblW w:w="962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20"/>
        <w:gridCol w:w="1050"/>
        <w:gridCol w:w="1584"/>
        <w:gridCol w:w="1332"/>
        <w:gridCol w:w="1190"/>
        <w:gridCol w:w="1032"/>
        <w:gridCol w:w="1921"/>
      </w:tblGrid>
      <w:tr w14:paraId="7409CF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jc w:val="center"/>
        </w:trPr>
        <w:tc>
          <w:tcPr>
            <w:tcW w:w="1520"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698329A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基</w:t>
            </w:r>
          </w:p>
          <w:p w14:paraId="743EB4E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本</w:t>
            </w:r>
          </w:p>
          <w:p w14:paraId="185F6BD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信</w:t>
            </w:r>
          </w:p>
          <w:p w14:paraId="353C5EA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息</w:t>
            </w: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014A84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名    称</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340E59C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995F44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爱国主义教育基地级别</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855A2A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□国家级</w:t>
            </w:r>
          </w:p>
          <w:p w14:paraId="4E056D6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□市级</w:t>
            </w:r>
          </w:p>
          <w:p w14:paraId="0AD7E79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□县级</w:t>
            </w:r>
          </w:p>
          <w:p w14:paraId="1F51538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□否</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732BC7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国防教育基地级别</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1B57DF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□国家级</w:t>
            </w:r>
          </w:p>
          <w:p w14:paraId="3A153A6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□市级</w:t>
            </w:r>
          </w:p>
          <w:p w14:paraId="34032A6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□县级</w:t>
            </w:r>
          </w:p>
          <w:p w14:paraId="4C1CF46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□否</w:t>
            </w:r>
          </w:p>
        </w:tc>
      </w:tr>
      <w:tr w14:paraId="71E1A3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2B1E229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EE37DC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具体地址</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6C9947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3BB04B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红色旅游景点级别</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28E789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□国家级</w:t>
            </w:r>
          </w:p>
          <w:p w14:paraId="15DDA57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□市级</w:t>
            </w:r>
          </w:p>
          <w:p w14:paraId="7F3D5D4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□县级</w:t>
            </w:r>
          </w:p>
          <w:p w14:paraId="467CAFB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rPr>
              <w:t>否</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53E340F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列入文物保护范围</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5D71DF9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□国家级</w:t>
            </w:r>
          </w:p>
          <w:p w14:paraId="549793A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□市级</w:t>
            </w:r>
          </w:p>
          <w:p w14:paraId="45D2E0A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rPr>
            </w:pPr>
            <w:r>
              <w:rPr>
                <w:rFonts w:hint="default" w:ascii="Times New Roman" w:hAnsi="Times New Roman" w:eastAsia="仿宋" w:cs="Times New Roman"/>
                <w:i w:val="0"/>
                <w:iCs w:val="0"/>
                <w:caps w:val="0"/>
                <w:color w:val="333333"/>
                <w:spacing w:val="0"/>
                <w:sz w:val="21"/>
                <w:szCs w:val="21"/>
              </w:rPr>
              <w:t>□县级</w:t>
            </w:r>
          </w:p>
          <w:p w14:paraId="32D3271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□否</w:t>
            </w:r>
          </w:p>
        </w:tc>
      </w:tr>
      <w:tr w14:paraId="692B85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7B6A375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565765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建设日期</w:t>
            </w:r>
          </w:p>
        </w:tc>
        <w:tc>
          <w:tcPr>
            <w:tcW w:w="4106" w:type="dxa"/>
            <w:gridSpan w:val="3"/>
            <w:tcBorders>
              <w:top w:val="outset" w:color="auto" w:sz="6" w:space="0"/>
              <w:left w:val="outset" w:color="auto" w:sz="6" w:space="0"/>
              <w:bottom w:val="outset" w:color="auto" w:sz="6" w:space="0"/>
              <w:right w:val="outset" w:color="auto" w:sz="6" w:space="0"/>
            </w:tcBorders>
            <w:shd w:val="clear" w:color="auto" w:fill="FFFFFF"/>
            <w:noWrap w:val="0"/>
            <w:vAlign w:val="center"/>
          </w:tcPr>
          <w:p w14:paraId="4FFCFA8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380A290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设立保护</w:t>
            </w:r>
          </w:p>
          <w:p w14:paraId="3626CBF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标志</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3CBAEB9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□是     □否</w:t>
            </w:r>
          </w:p>
        </w:tc>
      </w:tr>
      <w:tr w14:paraId="4F4E0D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00CB17F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纪念意义和建设规模</w:t>
            </w: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5506D96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纪念意义</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5B07961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lang w:val="en-US" w:eastAsia="zh-CN"/>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lang w:val="en-US" w:eastAsia="zh-CN"/>
              </w:rPr>
              <w:t>主要战役</w:t>
            </w:r>
          </w:p>
          <w:p w14:paraId="1477359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lang w:val="en-US" w:eastAsia="zh-CN"/>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lang w:val="en-US" w:eastAsia="zh-CN"/>
              </w:rPr>
              <w:t>著名人物</w:t>
            </w:r>
          </w:p>
          <w:p w14:paraId="6740B2A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lang w:val="en-US" w:eastAsia="zh-CN"/>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lang w:val="en-US" w:eastAsia="zh-CN"/>
              </w:rPr>
              <w:t>重大历史事件</w:t>
            </w:r>
          </w:p>
          <w:p w14:paraId="2F3949F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lang w:val="en-US" w:eastAsia="zh-CN"/>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lang w:val="en-US" w:eastAsia="zh-CN"/>
              </w:rPr>
              <w:t>集中安葬地</w:t>
            </w:r>
          </w:p>
          <w:p w14:paraId="7008424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i w:val="0"/>
                <w:iCs w:val="0"/>
                <w:caps w:val="0"/>
                <w:color w:val="333333"/>
                <w:spacing w:val="0"/>
                <w:sz w:val="21"/>
                <w:szCs w:val="21"/>
                <w:lang w:val="en-US" w:eastAsia="zh-CN"/>
              </w:rPr>
            </w:pPr>
            <w:r>
              <w:rPr>
                <w:rFonts w:hint="default" w:ascii="Times New Roman" w:hAnsi="Times New Roman" w:eastAsia="仿宋" w:cs="Times New Roman"/>
                <w:i w:val="0"/>
                <w:iCs w:val="0"/>
                <w:caps w:val="0"/>
                <w:color w:val="333333"/>
                <w:spacing w:val="0"/>
                <w:sz w:val="21"/>
                <w:szCs w:val="21"/>
                <w:lang w:eastAsia="zh-CN"/>
              </w:rPr>
              <w:t>□</w:t>
            </w:r>
            <w:r>
              <w:rPr>
                <w:rFonts w:hint="default" w:ascii="Times New Roman" w:hAnsi="Times New Roman" w:eastAsia="仿宋" w:cs="Times New Roman"/>
                <w:i w:val="0"/>
                <w:iCs w:val="0"/>
                <w:caps w:val="0"/>
                <w:color w:val="333333"/>
                <w:spacing w:val="0"/>
                <w:sz w:val="21"/>
                <w:szCs w:val="21"/>
                <w:lang w:val="en-US" w:eastAsia="zh-CN"/>
              </w:rPr>
              <w:t>其他</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9518F7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占地面积㎡</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587D948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431C575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纪念设施情况及数量</w:t>
            </w:r>
          </w:p>
        </w:tc>
        <w:tc>
          <w:tcPr>
            <w:tcW w:w="1921"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766A223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纪念堂（馆）</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座</w:t>
            </w:r>
          </w:p>
          <w:p w14:paraId="14B57B7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纪念碑（亭）</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座</w:t>
            </w:r>
          </w:p>
          <w:p w14:paraId="550A501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纪念塔（祠）</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座</w:t>
            </w:r>
          </w:p>
          <w:p w14:paraId="22A4803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纪念塑像</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尊</w:t>
            </w:r>
          </w:p>
          <w:p w14:paraId="3622FEA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烈士骨灰堂</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座</w:t>
            </w:r>
          </w:p>
          <w:p w14:paraId="1B5F23E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烈士墓</w:t>
            </w:r>
            <w:r>
              <w:rPr>
                <w:rFonts w:hint="default" w:ascii="Times New Roman" w:hAnsi="Times New Roman" w:eastAsia="仿宋" w:cs="Times New Roman"/>
                <w:i w:val="0"/>
                <w:iCs w:val="0"/>
                <w:caps w:val="0"/>
                <w:color w:val="333333"/>
                <w:spacing w:val="0"/>
                <w:sz w:val="21"/>
                <w:szCs w:val="21"/>
                <w:lang w:val="en-US" w:eastAsia="zh-CN"/>
              </w:rPr>
              <w:t xml:space="preserve">         </w:t>
            </w:r>
            <w:r>
              <w:rPr>
                <w:rFonts w:hint="default" w:ascii="Times New Roman" w:hAnsi="Times New Roman" w:eastAsia="仿宋" w:cs="Times New Roman"/>
                <w:i w:val="0"/>
                <w:iCs w:val="0"/>
                <w:caps w:val="0"/>
                <w:color w:val="333333"/>
                <w:spacing w:val="0"/>
                <w:sz w:val="21"/>
                <w:szCs w:val="21"/>
              </w:rPr>
              <w:t>个</w:t>
            </w:r>
          </w:p>
          <w:p w14:paraId="34E24AA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Times New Roman" w:hAnsi="Times New Roman" w:eastAsia="仿宋" w:cs="Times New Roman"/>
                <w:sz w:val="21"/>
                <w:szCs w:val="21"/>
                <w:lang w:eastAsia="zh-CN"/>
              </w:rPr>
            </w:pPr>
            <w:r>
              <w:rPr>
                <w:rFonts w:hint="default" w:ascii="Times New Roman" w:hAnsi="Times New Roman" w:eastAsia="仿宋" w:cs="Times New Roman"/>
                <w:i w:val="0"/>
                <w:iCs w:val="0"/>
                <w:caps w:val="0"/>
                <w:color w:val="333333"/>
                <w:spacing w:val="0"/>
                <w:sz w:val="21"/>
                <w:szCs w:val="21"/>
              </w:rPr>
              <w:t>其</w:t>
            </w:r>
            <w:r>
              <w:rPr>
                <w:rFonts w:hint="eastAsia" w:ascii="Times New Roman" w:hAnsi="Times New Roman" w:eastAsia="仿宋" w:cs="Times New Roman"/>
                <w:i w:val="0"/>
                <w:iCs w:val="0"/>
                <w:caps w:val="0"/>
                <w:color w:val="333333"/>
                <w:spacing w:val="0"/>
                <w:sz w:val="21"/>
                <w:szCs w:val="21"/>
                <w:lang w:eastAsia="zh-CN"/>
              </w:rPr>
              <w:t>他</w:t>
            </w:r>
          </w:p>
        </w:tc>
      </w:tr>
      <w:tr w14:paraId="43601E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77719AA">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5DE7B7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历史时期</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08804C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2AB6AA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建筑面积㎡</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3CB4F1B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4FC1A190">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921"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30C61F59">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r>
      <w:tr w14:paraId="22AC4E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2AEAE8D">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1296406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简    介</w:t>
            </w:r>
          </w:p>
        </w:tc>
        <w:tc>
          <w:tcPr>
            <w:tcW w:w="1584"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1826F76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0AEBED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墓区面积㎡</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D80A48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1580806">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921"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7FE725A3">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r>
      <w:tr w14:paraId="2DEA44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099366ED">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D03FFC6">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584"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D806CF4">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1DC21B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墓区预留面积㎡</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669136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7628901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921"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91A6488">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r>
      <w:tr w14:paraId="587F1E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51E02C24">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4E1CBDA5">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584"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40FDE3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0141E7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划定保护范围</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FD0853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□是  □否</w:t>
            </w:r>
          </w:p>
        </w:tc>
        <w:tc>
          <w:tcPr>
            <w:tcW w:w="1032"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612775B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安葬烈士人数及著名烈士名录</w:t>
            </w:r>
          </w:p>
        </w:tc>
        <w:tc>
          <w:tcPr>
            <w:tcW w:w="1921"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78E30F8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651649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59256F9">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4271A52B">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584"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B48181B">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54AE90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土地使用权证办理情况</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3882F71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□是  □否</w:t>
            </w:r>
          </w:p>
        </w:tc>
        <w:tc>
          <w:tcPr>
            <w:tcW w:w="1032"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31C4CA7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921"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27461695">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r>
      <w:tr w14:paraId="4947A0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463E9BE0">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17726DF">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584"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1DCA895D">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1783EB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不可（可）移动文物数量</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2DE56D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6F0FC1E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c>
          <w:tcPr>
            <w:tcW w:w="1921"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5E4C45E9">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textAlignment w:val="auto"/>
              <w:rPr>
                <w:rFonts w:hint="default" w:ascii="Times New Roman" w:hAnsi="Times New Roman" w:eastAsia="微软雅黑" w:cs="Times New Roman"/>
                <w:i w:val="0"/>
                <w:iCs w:val="0"/>
                <w:caps w:val="0"/>
                <w:color w:val="333333"/>
                <w:spacing w:val="0"/>
                <w:sz w:val="21"/>
                <w:szCs w:val="21"/>
              </w:rPr>
            </w:pPr>
          </w:p>
        </w:tc>
      </w:tr>
      <w:tr w14:paraId="0EE89E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restart"/>
            <w:tcBorders>
              <w:top w:val="outset" w:color="auto" w:sz="6" w:space="0"/>
              <w:left w:val="outset" w:color="auto" w:sz="6" w:space="0"/>
              <w:bottom w:val="outset" w:color="auto" w:sz="6" w:space="0"/>
              <w:right w:val="outset" w:color="auto" w:sz="6" w:space="0"/>
            </w:tcBorders>
            <w:shd w:val="clear" w:color="auto" w:fill="FFFFFF"/>
            <w:noWrap w:val="0"/>
            <w:vAlign w:val="center"/>
          </w:tcPr>
          <w:p w14:paraId="4B7DAB9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保护单位情况</w:t>
            </w: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B01138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名    称</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B7E9CF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22C1F3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编制人数</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D9176C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F40C92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在编人数</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024606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227DC7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239C6BE0">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F9DFA0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性质级别</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0E167E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BA9799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现有人数</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E3F403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A5DC89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聘用人数</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D5CABB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498DAE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vMerge w:val="continue"/>
            <w:tcBorders>
              <w:top w:val="outset" w:color="auto" w:sz="6" w:space="0"/>
              <w:left w:val="outset" w:color="auto" w:sz="6" w:space="0"/>
              <w:bottom w:val="outset" w:color="auto" w:sz="6" w:space="0"/>
              <w:right w:val="outset" w:color="auto" w:sz="6" w:space="0"/>
            </w:tcBorders>
            <w:shd w:val="clear" w:color="auto" w:fill="FFFFFF"/>
            <w:noWrap w:val="0"/>
            <w:vAlign w:val="center"/>
          </w:tcPr>
          <w:p w14:paraId="50143772">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微软雅黑" w:cs="Times New Roman"/>
                <w:i w:val="0"/>
                <w:iCs w:val="0"/>
                <w:caps w:val="0"/>
                <w:color w:val="333333"/>
                <w:spacing w:val="0"/>
                <w:sz w:val="21"/>
                <w:szCs w:val="21"/>
              </w:rPr>
            </w:pP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A24D0D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主管部门</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E02580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18FA2A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讲解员人数</w:t>
            </w:r>
          </w:p>
        </w:tc>
        <w:tc>
          <w:tcPr>
            <w:tcW w:w="4143" w:type="dxa"/>
            <w:gridSpan w:val="3"/>
            <w:tcBorders>
              <w:top w:val="outset" w:color="auto" w:sz="6" w:space="0"/>
              <w:left w:val="outset" w:color="auto" w:sz="6" w:space="0"/>
              <w:bottom w:val="outset" w:color="auto" w:sz="6" w:space="0"/>
              <w:right w:val="outset" w:color="auto" w:sz="6" w:space="0"/>
            </w:tcBorders>
            <w:shd w:val="clear" w:color="auto" w:fill="FFFFFF"/>
            <w:noWrap w:val="0"/>
            <w:vAlign w:val="center"/>
          </w:tcPr>
          <w:p w14:paraId="57E35F9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2BDD08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52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63C3A2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工作</w:t>
            </w:r>
          </w:p>
          <w:p w14:paraId="3AFC57C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经费</w:t>
            </w: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974E8B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是否纳入当地财政预算</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0C0E4E7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□是</w:t>
            </w:r>
          </w:p>
          <w:p w14:paraId="465D2A1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□否</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F4EEC0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本级财政补助工作、维修改造经费（万元）</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054643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5A05B9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年支出</w:t>
            </w:r>
          </w:p>
          <w:p w14:paraId="206223B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（万元）</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C7E37E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706275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3" w:hRule="atLeast"/>
          <w:jc w:val="center"/>
        </w:trPr>
        <w:tc>
          <w:tcPr>
            <w:tcW w:w="152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C51D0D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负责人</w:t>
            </w:r>
          </w:p>
        </w:tc>
        <w:tc>
          <w:tcPr>
            <w:tcW w:w="105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1657F81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姓    名</w:t>
            </w:r>
          </w:p>
        </w:tc>
        <w:tc>
          <w:tcPr>
            <w:tcW w:w="1584"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9C12C1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3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702A992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职  务</w:t>
            </w:r>
          </w:p>
        </w:tc>
        <w:tc>
          <w:tcPr>
            <w:tcW w:w="119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47FA6EC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c>
          <w:tcPr>
            <w:tcW w:w="1032"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F2DD8C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联系电话</w:t>
            </w:r>
          </w:p>
        </w:tc>
        <w:tc>
          <w:tcPr>
            <w:tcW w:w="1921"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65C6890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r w14:paraId="21EDBD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15" w:hRule="atLeast"/>
          <w:jc w:val="center"/>
        </w:trPr>
        <w:tc>
          <w:tcPr>
            <w:tcW w:w="1520" w:type="dxa"/>
            <w:tcBorders>
              <w:top w:val="outset" w:color="auto" w:sz="6" w:space="0"/>
              <w:left w:val="outset" w:color="auto" w:sz="6" w:space="0"/>
              <w:bottom w:val="outset" w:color="auto" w:sz="6" w:space="0"/>
              <w:right w:val="outset" w:color="auto" w:sz="6" w:space="0"/>
            </w:tcBorders>
            <w:shd w:val="clear" w:color="auto" w:fill="FFFFFF"/>
            <w:noWrap w:val="0"/>
            <w:vAlign w:val="center"/>
          </w:tcPr>
          <w:p w14:paraId="241C0D3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获表彰情况</w:t>
            </w:r>
          </w:p>
        </w:tc>
        <w:tc>
          <w:tcPr>
            <w:tcW w:w="8109" w:type="dxa"/>
            <w:gridSpan w:val="6"/>
            <w:tcBorders>
              <w:top w:val="outset" w:color="auto" w:sz="6" w:space="0"/>
              <w:left w:val="outset" w:color="auto" w:sz="6" w:space="0"/>
              <w:bottom w:val="outset" w:color="auto" w:sz="6" w:space="0"/>
              <w:right w:val="outset" w:color="auto" w:sz="6" w:space="0"/>
            </w:tcBorders>
            <w:shd w:val="clear" w:color="auto" w:fill="FFFFFF"/>
            <w:noWrap w:val="0"/>
            <w:vAlign w:val="center"/>
          </w:tcPr>
          <w:p w14:paraId="6E43554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仿宋" w:cs="Times New Roman"/>
                <w:sz w:val="21"/>
                <w:szCs w:val="21"/>
              </w:rPr>
            </w:pPr>
            <w:r>
              <w:rPr>
                <w:rFonts w:hint="default" w:ascii="Times New Roman" w:hAnsi="Times New Roman" w:eastAsia="仿宋" w:cs="Times New Roman"/>
                <w:i w:val="0"/>
                <w:iCs w:val="0"/>
                <w:caps w:val="0"/>
                <w:color w:val="333333"/>
                <w:spacing w:val="0"/>
                <w:sz w:val="21"/>
                <w:szCs w:val="21"/>
              </w:rPr>
              <w:t> </w:t>
            </w:r>
          </w:p>
        </w:tc>
      </w:tr>
    </w:tbl>
    <w:p w14:paraId="067E50E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6C078C8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1D88CEF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7F65949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7685907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7FB598C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3496117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18547D9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07A0001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71B0C5B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7EA6076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6849657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p>
    <w:p w14:paraId="325C6A2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79" w:lineRule="exact"/>
        <w:jc w:val="left"/>
        <w:textAlignment w:val="center"/>
        <w:rPr>
          <w:rFonts w:hint="default" w:ascii="Times New Roman" w:hAnsi="Times New Roman" w:eastAsia="方正黑体_GBK" w:cs="Times New Roman"/>
          <w:i w:val="0"/>
          <w:caps w:val="0"/>
          <w:color w:val="000000"/>
          <w:spacing w:val="0"/>
          <w:sz w:val="32"/>
          <w:szCs w:val="32"/>
          <w:lang w:val="en-US" w:eastAsia="zh-CN"/>
        </w:rPr>
      </w:pPr>
      <w:r>
        <w:rPr>
          <w:rFonts w:hint="default" w:ascii="Times New Roman" w:hAnsi="Times New Roman" w:eastAsia="方正黑体_GBK" w:cs="Times New Roman"/>
          <w:i w:val="0"/>
          <w:caps w:val="0"/>
          <w:color w:val="000000"/>
          <w:spacing w:val="0"/>
          <w:sz w:val="32"/>
          <w:szCs w:val="32"/>
          <w:lang w:val="en-US" w:eastAsia="zh-CN"/>
        </w:rPr>
        <w:t>附件2</w:t>
      </w:r>
    </w:p>
    <w:p w14:paraId="60C8A92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黑体_GBK" w:hAnsi="方正黑体_GBK" w:eastAsia="方正黑体_GBK" w:cs="方正黑体_GBK"/>
          <w:color w:val="424242"/>
          <w:sz w:val="44"/>
          <w:szCs w:val="44"/>
          <w:lang w:eastAsia="zh-CN"/>
        </w:rPr>
      </w:pPr>
      <w:r>
        <w:rPr>
          <w:rFonts w:hint="eastAsia" w:ascii="方正黑体_GBK" w:hAnsi="方正黑体_GBK" w:eastAsia="方正黑体_GBK" w:cs="方正黑体_GBK"/>
          <w:i w:val="0"/>
          <w:caps w:val="0"/>
          <w:color w:val="000000"/>
          <w:spacing w:val="0"/>
          <w:sz w:val="44"/>
          <w:szCs w:val="44"/>
          <w:lang w:eastAsia="zh-CN"/>
        </w:rPr>
        <w:t>黔江区</w:t>
      </w:r>
      <w:r>
        <w:rPr>
          <w:rFonts w:hint="eastAsia" w:ascii="方正黑体_GBK" w:hAnsi="方正黑体_GBK" w:eastAsia="方正黑体_GBK" w:cs="方正黑体_GBK"/>
          <w:i w:val="0"/>
          <w:caps w:val="0"/>
          <w:color w:val="000000"/>
          <w:spacing w:val="0"/>
          <w:sz w:val="44"/>
          <w:szCs w:val="44"/>
        </w:rPr>
        <w:t>申报</w:t>
      </w:r>
      <w:r>
        <w:rPr>
          <w:rFonts w:hint="eastAsia" w:ascii="方正黑体_GBK" w:hAnsi="方正黑体_GBK" w:eastAsia="方正黑体_GBK" w:cs="方正黑体_GBK"/>
          <w:i w:val="0"/>
          <w:caps w:val="0"/>
          <w:color w:val="000000"/>
          <w:spacing w:val="0"/>
          <w:sz w:val="44"/>
          <w:szCs w:val="44"/>
          <w:lang w:eastAsia="zh-CN"/>
        </w:rPr>
        <w:t>区</w:t>
      </w:r>
      <w:r>
        <w:rPr>
          <w:rFonts w:hint="eastAsia" w:ascii="方正黑体_GBK" w:hAnsi="方正黑体_GBK" w:eastAsia="方正黑体_GBK" w:cs="方正黑体_GBK"/>
          <w:i w:val="0"/>
          <w:caps w:val="0"/>
          <w:color w:val="000000"/>
          <w:spacing w:val="0"/>
          <w:sz w:val="44"/>
          <w:szCs w:val="44"/>
        </w:rPr>
        <w:t>级烈士纪念设施评</w:t>
      </w:r>
      <w:r>
        <w:rPr>
          <w:rFonts w:hint="eastAsia" w:ascii="方正黑体_GBK" w:hAnsi="方正黑体_GBK" w:eastAsia="方正黑体_GBK" w:cs="方正黑体_GBK"/>
          <w:i w:val="0"/>
          <w:caps w:val="0"/>
          <w:color w:val="000000"/>
          <w:spacing w:val="0"/>
          <w:sz w:val="44"/>
          <w:szCs w:val="44"/>
          <w:lang w:eastAsia="zh-CN"/>
        </w:rPr>
        <w:t>分表</w:t>
      </w:r>
    </w:p>
    <w:tbl>
      <w:tblPr>
        <w:tblStyle w:val="16"/>
        <w:tblW w:w="9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007"/>
        <w:gridCol w:w="504"/>
        <w:gridCol w:w="3086"/>
        <w:gridCol w:w="463"/>
        <w:gridCol w:w="3683"/>
        <w:gridCol w:w="643"/>
        <w:gridCol w:w="568"/>
      </w:tblGrid>
      <w:tr w14:paraId="4937C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317" w:hRule="atLeast"/>
          <w:tblHeader/>
          <w:jc w:val="center"/>
        </w:trPr>
        <w:tc>
          <w:tcPr>
            <w:tcW w:w="1007" w:type="dxa"/>
            <w:shd w:val="clear" w:color="auto" w:fill="FFFFFF"/>
            <w:noWrap w:val="0"/>
            <w:tcMar>
              <w:top w:w="15" w:type="dxa"/>
              <w:left w:w="15" w:type="dxa"/>
              <w:right w:w="15" w:type="dxa"/>
            </w:tcMar>
            <w:vAlign w:val="center"/>
          </w:tcPr>
          <w:p w14:paraId="0DAA2C4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项目</w:t>
            </w:r>
          </w:p>
        </w:tc>
        <w:tc>
          <w:tcPr>
            <w:tcW w:w="504" w:type="dxa"/>
            <w:shd w:val="clear" w:color="auto" w:fill="FFFFFF"/>
            <w:noWrap w:val="0"/>
            <w:tcMar>
              <w:top w:w="15" w:type="dxa"/>
              <w:left w:w="15" w:type="dxa"/>
              <w:right w:w="15" w:type="dxa"/>
            </w:tcMar>
            <w:vAlign w:val="center"/>
          </w:tcPr>
          <w:p w14:paraId="66EB910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序号</w:t>
            </w:r>
          </w:p>
        </w:tc>
        <w:tc>
          <w:tcPr>
            <w:tcW w:w="3086" w:type="dxa"/>
            <w:shd w:val="clear" w:color="auto" w:fill="FFFFFF"/>
            <w:noWrap w:val="0"/>
            <w:tcMar>
              <w:top w:w="15" w:type="dxa"/>
              <w:left w:w="15" w:type="dxa"/>
              <w:right w:w="15" w:type="dxa"/>
            </w:tcMar>
            <w:vAlign w:val="center"/>
          </w:tcPr>
          <w:p w14:paraId="036D99D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考评内容</w:t>
            </w:r>
          </w:p>
        </w:tc>
        <w:tc>
          <w:tcPr>
            <w:tcW w:w="463" w:type="dxa"/>
            <w:shd w:val="clear" w:color="auto" w:fill="FFFFFF"/>
            <w:noWrap w:val="0"/>
            <w:tcMar>
              <w:top w:w="15" w:type="dxa"/>
              <w:left w:w="15" w:type="dxa"/>
              <w:right w:w="15" w:type="dxa"/>
            </w:tcMar>
            <w:vAlign w:val="center"/>
          </w:tcPr>
          <w:p w14:paraId="5F4E4C3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分值</w:t>
            </w:r>
          </w:p>
        </w:tc>
        <w:tc>
          <w:tcPr>
            <w:tcW w:w="3683" w:type="dxa"/>
            <w:shd w:val="clear" w:color="auto" w:fill="FFFFFF"/>
            <w:noWrap w:val="0"/>
            <w:tcMar>
              <w:top w:w="15" w:type="dxa"/>
              <w:left w:w="15" w:type="dxa"/>
              <w:right w:w="15" w:type="dxa"/>
            </w:tcMar>
            <w:vAlign w:val="center"/>
          </w:tcPr>
          <w:p w14:paraId="42EA032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评分标准</w:t>
            </w:r>
          </w:p>
        </w:tc>
        <w:tc>
          <w:tcPr>
            <w:tcW w:w="643" w:type="dxa"/>
            <w:shd w:val="clear" w:color="auto" w:fill="FFFFFF"/>
            <w:noWrap w:val="0"/>
            <w:tcMar>
              <w:top w:w="15" w:type="dxa"/>
              <w:left w:w="15" w:type="dxa"/>
              <w:right w:w="15" w:type="dxa"/>
            </w:tcMar>
            <w:vAlign w:val="center"/>
          </w:tcPr>
          <w:p w14:paraId="25475C3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lang w:val="en-US" w:eastAsia="zh-CN"/>
              </w:rPr>
            </w:pPr>
            <w:r>
              <w:rPr>
                <w:rStyle w:val="19"/>
                <w:rFonts w:hint="default" w:ascii="Times New Roman" w:hAnsi="Times New Roman" w:eastAsia="微软雅黑" w:cs="Times New Roman"/>
                <w:b/>
                <w:bCs w:val="0"/>
                <w:i w:val="0"/>
                <w:caps w:val="0"/>
                <w:color w:val="000000"/>
                <w:spacing w:val="0"/>
                <w:sz w:val="21"/>
                <w:szCs w:val="21"/>
                <w:lang w:eastAsia="zh-CN"/>
              </w:rPr>
              <w:t>自</w:t>
            </w:r>
            <w:r>
              <w:rPr>
                <w:rStyle w:val="19"/>
                <w:rFonts w:hint="default" w:ascii="Times New Roman" w:hAnsi="Times New Roman" w:eastAsia="微软雅黑" w:cs="Times New Roman"/>
                <w:b/>
                <w:bCs w:val="0"/>
                <w:i w:val="0"/>
                <w:caps w:val="0"/>
                <w:color w:val="000000"/>
                <w:spacing w:val="0"/>
                <w:sz w:val="21"/>
                <w:szCs w:val="21"/>
              </w:rPr>
              <w:t>评</w:t>
            </w:r>
            <w:r>
              <w:rPr>
                <w:rStyle w:val="19"/>
                <w:rFonts w:hint="default" w:ascii="Times New Roman" w:hAnsi="Times New Roman" w:eastAsia="微软雅黑" w:cs="Times New Roman"/>
                <w:b/>
                <w:bCs w:val="0"/>
                <w:i w:val="0"/>
                <w:caps w:val="0"/>
                <w:color w:val="000000"/>
                <w:spacing w:val="0"/>
                <w:sz w:val="21"/>
                <w:szCs w:val="21"/>
                <w:lang w:eastAsia="zh-CN"/>
              </w:rPr>
              <w:t>得分</w:t>
            </w:r>
          </w:p>
        </w:tc>
        <w:tc>
          <w:tcPr>
            <w:tcW w:w="568" w:type="dxa"/>
            <w:shd w:val="clear" w:color="auto" w:fill="FFFFFF"/>
            <w:noWrap w:val="0"/>
            <w:tcMar>
              <w:top w:w="15" w:type="dxa"/>
              <w:left w:w="15" w:type="dxa"/>
              <w:right w:w="15" w:type="dxa"/>
            </w:tcMar>
            <w:vAlign w:val="center"/>
          </w:tcPr>
          <w:p w14:paraId="7763885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微软雅黑" w:cs="Times New Roman"/>
                <w:b/>
                <w:bCs w:val="0"/>
                <w:sz w:val="21"/>
                <w:szCs w:val="21"/>
              </w:rPr>
            </w:pPr>
            <w:r>
              <w:rPr>
                <w:rStyle w:val="19"/>
                <w:rFonts w:hint="default" w:ascii="Times New Roman" w:hAnsi="Times New Roman" w:eastAsia="微软雅黑" w:cs="Times New Roman"/>
                <w:b/>
                <w:bCs w:val="0"/>
                <w:i w:val="0"/>
                <w:caps w:val="0"/>
                <w:color w:val="000000"/>
                <w:spacing w:val="0"/>
                <w:sz w:val="21"/>
                <w:szCs w:val="21"/>
              </w:rPr>
              <w:t>考评得分</w:t>
            </w:r>
          </w:p>
        </w:tc>
      </w:tr>
      <w:tr w14:paraId="73519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007" w:type="dxa"/>
            <w:vMerge w:val="restart"/>
            <w:shd w:val="clear" w:color="auto" w:fill="FFFFFF"/>
            <w:noWrap w:val="0"/>
            <w:tcMar>
              <w:top w:w="15" w:type="dxa"/>
              <w:left w:w="15" w:type="dxa"/>
              <w:right w:w="15" w:type="dxa"/>
            </w:tcMar>
            <w:vAlign w:val="center"/>
          </w:tcPr>
          <w:p w14:paraId="09A051D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一、建设规划和维修保护（30分）</w:t>
            </w:r>
          </w:p>
          <w:p w14:paraId="6CF83F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lang w:val="en-US" w:eastAsia="zh-CN"/>
              </w:rPr>
            </w:pPr>
          </w:p>
        </w:tc>
        <w:tc>
          <w:tcPr>
            <w:tcW w:w="504" w:type="dxa"/>
            <w:shd w:val="clear" w:color="auto" w:fill="FFFFFF"/>
            <w:noWrap w:val="0"/>
            <w:tcMar>
              <w:top w:w="15" w:type="dxa"/>
              <w:left w:w="15" w:type="dxa"/>
              <w:right w:w="15" w:type="dxa"/>
            </w:tcMar>
            <w:vAlign w:val="center"/>
          </w:tcPr>
          <w:p w14:paraId="67E3847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w:t>
            </w:r>
          </w:p>
        </w:tc>
        <w:tc>
          <w:tcPr>
            <w:tcW w:w="3086" w:type="dxa"/>
            <w:shd w:val="clear" w:color="auto" w:fill="FFFFFF"/>
            <w:noWrap w:val="0"/>
            <w:tcMar>
              <w:top w:w="15" w:type="dxa"/>
              <w:left w:w="15" w:type="dxa"/>
              <w:right w:w="15" w:type="dxa"/>
            </w:tcMar>
            <w:vAlign w:val="center"/>
          </w:tcPr>
          <w:p w14:paraId="14A05F9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将烈士纪念设施建设和保护纳入当地国民经济和社会发展总体规划，提高建设水平，提升服务品质。</w:t>
            </w:r>
          </w:p>
        </w:tc>
        <w:tc>
          <w:tcPr>
            <w:tcW w:w="463" w:type="dxa"/>
            <w:shd w:val="clear" w:color="auto" w:fill="FFFFFF"/>
            <w:noWrap w:val="0"/>
            <w:tcMar>
              <w:top w:w="15" w:type="dxa"/>
              <w:left w:w="15" w:type="dxa"/>
              <w:right w:w="15" w:type="dxa"/>
            </w:tcMar>
            <w:vAlign w:val="center"/>
          </w:tcPr>
          <w:p w14:paraId="01104BC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color w:val="auto"/>
                <w:sz w:val="21"/>
                <w:szCs w:val="21"/>
              </w:rPr>
            </w:pPr>
            <w:r>
              <w:rPr>
                <w:rFonts w:hint="default" w:ascii="Times New Roman" w:hAnsi="Times New Roman" w:eastAsia="仿宋" w:cs="Times New Roman"/>
                <w:i w:val="0"/>
                <w:caps w:val="0"/>
                <w:color w:val="auto"/>
                <w:spacing w:val="0"/>
                <w:sz w:val="21"/>
                <w:szCs w:val="21"/>
              </w:rPr>
              <w:t>5</w:t>
            </w:r>
          </w:p>
        </w:tc>
        <w:tc>
          <w:tcPr>
            <w:tcW w:w="3683" w:type="dxa"/>
            <w:shd w:val="clear" w:color="auto" w:fill="FFFFFF"/>
            <w:noWrap w:val="0"/>
            <w:tcMar>
              <w:top w:w="15" w:type="dxa"/>
              <w:left w:w="15" w:type="dxa"/>
              <w:right w:w="15" w:type="dxa"/>
            </w:tcMar>
            <w:vAlign w:val="center"/>
          </w:tcPr>
          <w:p w14:paraId="29026265">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cs="Times New Roman"/>
                <w:lang w:val="en-US" w:eastAsia="zh-CN"/>
              </w:rPr>
              <w:t>1</w:t>
            </w:r>
            <w:r>
              <w:rPr>
                <w:rFonts w:hint="default" w:ascii="Times New Roman" w:hAnsi="Times New Roman" w:eastAsia="仿宋" w:cs="Times New Roman"/>
                <w:i w:val="0"/>
                <w:caps w:val="0"/>
                <w:color w:val="000000"/>
                <w:spacing w:val="0"/>
                <w:kern w:val="0"/>
                <w:sz w:val="21"/>
                <w:szCs w:val="21"/>
                <w:lang w:val="en-US" w:eastAsia="zh-CN" w:bidi="ar-SA"/>
              </w:rPr>
              <w:t>.将烈士纪念设施建设和保护纳入当地国民经济和社会发展总体规划的得2分</w:t>
            </w:r>
          </w:p>
          <w:p w14:paraId="5DC433A8">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2.制定烈士纪念设施建设发展总体规划的得1分；</w:t>
            </w:r>
          </w:p>
          <w:p w14:paraId="61D765B4">
            <w:pPr>
              <w:rPr>
                <w:rFonts w:hint="default" w:ascii="Times New Roman" w:hAnsi="Times New Roman" w:eastAsia="仿宋" w:cs="Times New Roman"/>
                <w:color w:val="auto"/>
                <w:sz w:val="21"/>
                <w:szCs w:val="21"/>
              </w:rPr>
            </w:pPr>
            <w:r>
              <w:rPr>
                <w:rFonts w:hint="default" w:ascii="Times New Roman" w:hAnsi="Times New Roman" w:eastAsia="仿宋" w:cs="Times New Roman"/>
                <w:i w:val="0"/>
                <w:caps w:val="0"/>
                <w:color w:val="000000"/>
                <w:spacing w:val="0"/>
                <w:kern w:val="0"/>
                <w:sz w:val="21"/>
                <w:szCs w:val="21"/>
                <w:lang w:val="en-US" w:eastAsia="zh-CN" w:bidi="ar-SA"/>
              </w:rPr>
              <w:t>3.设有专门保护管理机构及人员编制的得2分。</w:t>
            </w:r>
          </w:p>
        </w:tc>
        <w:tc>
          <w:tcPr>
            <w:tcW w:w="643" w:type="dxa"/>
            <w:shd w:val="clear" w:color="auto" w:fill="FFFFFF"/>
            <w:noWrap w:val="0"/>
            <w:tcMar>
              <w:top w:w="15" w:type="dxa"/>
              <w:left w:w="15" w:type="dxa"/>
              <w:right w:w="15" w:type="dxa"/>
            </w:tcMar>
            <w:vAlign w:val="center"/>
          </w:tcPr>
          <w:p w14:paraId="5F76F73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5A705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6231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00" w:hRule="atLeast"/>
          <w:jc w:val="center"/>
        </w:trPr>
        <w:tc>
          <w:tcPr>
            <w:tcW w:w="1007" w:type="dxa"/>
            <w:vMerge w:val="continue"/>
            <w:shd w:val="clear" w:color="auto" w:fill="FFFFFF"/>
            <w:noWrap w:val="0"/>
            <w:tcMar>
              <w:top w:w="15" w:type="dxa"/>
              <w:left w:w="15" w:type="dxa"/>
              <w:right w:w="15" w:type="dxa"/>
            </w:tcMar>
            <w:vAlign w:val="center"/>
          </w:tcPr>
          <w:p w14:paraId="5AED17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lang w:val="en-US" w:eastAsia="zh-CN"/>
              </w:rPr>
            </w:pPr>
          </w:p>
        </w:tc>
        <w:tc>
          <w:tcPr>
            <w:tcW w:w="504" w:type="dxa"/>
            <w:shd w:val="clear" w:color="auto" w:fill="FFFFFF"/>
            <w:noWrap w:val="0"/>
            <w:tcMar>
              <w:top w:w="15" w:type="dxa"/>
              <w:left w:w="15" w:type="dxa"/>
              <w:right w:w="15" w:type="dxa"/>
            </w:tcMar>
            <w:vAlign w:val="center"/>
          </w:tcPr>
          <w:p w14:paraId="72FC447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lang w:val="en-US" w:eastAsia="zh-CN"/>
              </w:rPr>
            </w:pPr>
            <w:r>
              <w:rPr>
                <w:rFonts w:hint="default" w:ascii="Times New Roman" w:hAnsi="Times New Roman" w:eastAsia="仿宋" w:cs="Times New Roman"/>
                <w:i w:val="0"/>
                <w:caps w:val="0"/>
                <w:color w:val="000000"/>
                <w:spacing w:val="0"/>
                <w:sz w:val="21"/>
                <w:szCs w:val="21"/>
                <w:lang w:val="en-US" w:eastAsia="zh-CN"/>
              </w:rPr>
              <w:t>2</w:t>
            </w:r>
          </w:p>
        </w:tc>
        <w:tc>
          <w:tcPr>
            <w:tcW w:w="3086" w:type="dxa"/>
            <w:shd w:val="clear" w:color="auto" w:fill="FFFFFF"/>
            <w:noWrap w:val="0"/>
            <w:tcMar>
              <w:top w:w="15" w:type="dxa"/>
              <w:left w:w="15" w:type="dxa"/>
              <w:right w:w="15" w:type="dxa"/>
            </w:tcMar>
            <w:vAlign w:val="center"/>
          </w:tcPr>
          <w:p w14:paraId="6BCE391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lang w:val="en-US"/>
              </w:rPr>
            </w:pPr>
            <w:r>
              <w:rPr>
                <w:rFonts w:hint="default" w:ascii="Times New Roman" w:hAnsi="Times New Roman" w:eastAsia="仿宋" w:cs="Times New Roman"/>
                <w:i w:val="0"/>
                <w:caps w:val="0"/>
                <w:color w:val="000000"/>
                <w:spacing w:val="0"/>
                <w:sz w:val="21"/>
                <w:szCs w:val="21"/>
                <w:lang w:val="en-US"/>
              </w:rPr>
              <w:t>科学制定烈士纪念设施建设和维修改造规划，建立健全烈士纪念设施管理制度，加强日常管理和修缮，做到设施齐全、功能完备。</w:t>
            </w:r>
          </w:p>
        </w:tc>
        <w:tc>
          <w:tcPr>
            <w:tcW w:w="463" w:type="dxa"/>
            <w:shd w:val="clear" w:color="auto" w:fill="FFFFFF"/>
            <w:noWrap w:val="0"/>
            <w:tcMar>
              <w:top w:w="15" w:type="dxa"/>
              <w:left w:w="15" w:type="dxa"/>
              <w:right w:w="15" w:type="dxa"/>
            </w:tcMar>
            <w:vAlign w:val="center"/>
          </w:tcPr>
          <w:p w14:paraId="111E1FB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auto"/>
                <w:spacing w:val="0"/>
                <w:sz w:val="21"/>
                <w:szCs w:val="21"/>
                <w:lang w:val="en-US" w:eastAsia="zh-CN"/>
              </w:rPr>
            </w:pPr>
            <w:r>
              <w:rPr>
                <w:rFonts w:hint="default" w:ascii="Times New Roman" w:hAnsi="Times New Roman" w:eastAsia="仿宋" w:cs="Times New Roman"/>
                <w:i w:val="0"/>
                <w:caps w:val="0"/>
                <w:color w:val="auto"/>
                <w:spacing w:val="0"/>
                <w:sz w:val="21"/>
                <w:szCs w:val="21"/>
                <w:lang w:val="en-US" w:eastAsia="zh-CN"/>
              </w:rPr>
              <w:t>5</w:t>
            </w:r>
          </w:p>
        </w:tc>
        <w:tc>
          <w:tcPr>
            <w:tcW w:w="3683" w:type="dxa"/>
            <w:shd w:val="clear" w:color="auto" w:fill="FFFFFF"/>
            <w:noWrap w:val="0"/>
            <w:tcMar>
              <w:top w:w="15" w:type="dxa"/>
              <w:left w:w="15" w:type="dxa"/>
              <w:right w:w="15" w:type="dxa"/>
            </w:tcMar>
            <w:vAlign w:val="center"/>
          </w:tcPr>
          <w:p w14:paraId="55B61255">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1.烈士纪念设施维修改造规划目标明确、思路清晰、措施具体可行的得1分；</w:t>
            </w:r>
          </w:p>
          <w:p w14:paraId="5A375EC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2.烈士纪念设施管理制度健全，日常管理和修缮工作落实到位的得2分；</w:t>
            </w:r>
          </w:p>
          <w:p w14:paraId="7971E385">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3.维修改造经费列入当地财政预算的得1分；</w:t>
            </w:r>
          </w:p>
          <w:p w14:paraId="114DB55F">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4.日常管理经费列入当地财政预算的得1分</w:t>
            </w:r>
          </w:p>
        </w:tc>
        <w:tc>
          <w:tcPr>
            <w:tcW w:w="643" w:type="dxa"/>
            <w:shd w:val="clear" w:color="auto" w:fill="FFFFFF"/>
            <w:noWrap w:val="0"/>
            <w:tcMar>
              <w:top w:w="15" w:type="dxa"/>
              <w:left w:w="15" w:type="dxa"/>
              <w:right w:w="15" w:type="dxa"/>
            </w:tcMar>
            <w:vAlign w:val="center"/>
          </w:tcPr>
          <w:p w14:paraId="0596896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lang w:val="en-US"/>
              </w:rPr>
            </w:pPr>
          </w:p>
        </w:tc>
        <w:tc>
          <w:tcPr>
            <w:tcW w:w="568" w:type="dxa"/>
            <w:shd w:val="clear" w:color="auto" w:fill="FFFFFF"/>
            <w:noWrap w:val="0"/>
            <w:tcMar>
              <w:top w:w="15" w:type="dxa"/>
              <w:left w:w="15" w:type="dxa"/>
              <w:right w:w="15" w:type="dxa"/>
            </w:tcMar>
            <w:vAlign w:val="center"/>
          </w:tcPr>
          <w:p w14:paraId="649246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lang w:val="en-US"/>
              </w:rPr>
            </w:pPr>
          </w:p>
        </w:tc>
      </w:tr>
      <w:tr w14:paraId="5451E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5" w:hRule="atLeast"/>
          <w:jc w:val="center"/>
        </w:trPr>
        <w:tc>
          <w:tcPr>
            <w:tcW w:w="1007" w:type="dxa"/>
            <w:vMerge w:val="continue"/>
            <w:shd w:val="clear" w:color="auto" w:fill="FFFFFF"/>
            <w:noWrap w:val="0"/>
            <w:tcMar>
              <w:top w:w="15" w:type="dxa"/>
              <w:left w:w="15" w:type="dxa"/>
              <w:right w:w="15" w:type="dxa"/>
            </w:tcMar>
            <w:vAlign w:val="center"/>
          </w:tcPr>
          <w:p w14:paraId="5BA1EA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49361E8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3</w:t>
            </w:r>
          </w:p>
        </w:tc>
        <w:tc>
          <w:tcPr>
            <w:tcW w:w="3086" w:type="dxa"/>
            <w:shd w:val="clear" w:color="auto" w:fill="FFFFFF"/>
            <w:noWrap w:val="0"/>
            <w:tcMar>
              <w:top w:w="15" w:type="dxa"/>
              <w:left w:w="15" w:type="dxa"/>
              <w:right w:w="15" w:type="dxa"/>
            </w:tcMar>
            <w:vAlign w:val="center"/>
          </w:tcPr>
          <w:p w14:paraId="3B03557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协调有关部门划定烈士纪念设施保护范围，设置保护标志，及时制止破坏、污损烈士纪念设施，以及在烈士纪念设施保护范围内进行其他工程建设的行为。</w:t>
            </w:r>
          </w:p>
        </w:tc>
        <w:tc>
          <w:tcPr>
            <w:tcW w:w="463" w:type="dxa"/>
            <w:shd w:val="clear" w:color="auto" w:fill="FFFFFF"/>
            <w:noWrap w:val="0"/>
            <w:tcMar>
              <w:top w:w="15" w:type="dxa"/>
              <w:left w:w="15" w:type="dxa"/>
              <w:right w:w="15" w:type="dxa"/>
            </w:tcMar>
            <w:vAlign w:val="center"/>
          </w:tcPr>
          <w:p w14:paraId="6CA59D7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3038E887">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1.划定烈士纪念设施保护范围，并设置保护标志的得2分；</w:t>
            </w:r>
          </w:p>
          <w:p w14:paraId="55648440">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2.烈士纪念设施保护范围内没有与纪念烈士无关的建筑物的得2分。</w:t>
            </w:r>
          </w:p>
        </w:tc>
        <w:tc>
          <w:tcPr>
            <w:tcW w:w="643" w:type="dxa"/>
            <w:shd w:val="clear" w:color="auto" w:fill="FFFFFF"/>
            <w:noWrap w:val="0"/>
            <w:tcMar>
              <w:top w:w="15" w:type="dxa"/>
              <w:left w:w="15" w:type="dxa"/>
              <w:right w:w="15" w:type="dxa"/>
            </w:tcMar>
            <w:vAlign w:val="center"/>
          </w:tcPr>
          <w:p w14:paraId="47B26D4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2E12D0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740C9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0" w:hRule="atLeast"/>
          <w:jc w:val="center"/>
        </w:trPr>
        <w:tc>
          <w:tcPr>
            <w:tcW w:w="1007" w:type="dxa"/>
            <w:vMerge w:val="continue"/>
            <w:shd w:val="clear" w:color="auto" w:fill="FFFFFF"/>
            <w:noWrap w:val="0"/>
            <w:tcMar>
              <w:top w:w="15" w:type="dxa"/>
              <w:left w:w="15" w:type="dxa"/>
              <w:right w:w="15" w:type="dxa"/>
            </w:tcMar>
            <w:vAlign w:val="center"/>
          </w:tcPr>
          <w:p w14:paraId="0CBE76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5EAD803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086" w:type="dxa"/>
            <w:shd w:val="clear" w:color="auto" w:fill="FFFFFF"/>
            <w:noWrap w:val="0"/>
            <w:tcMar>
              <w:top w:w="15" w:type="dxa"/>
              <w:left w:w="15" w:type="dxa"/>
              <w:right w:w="15" w:type="dxa"/>
            </w:tcMar>
            <w:vAlign w:val="center"/>
          </w:tcPr>
          <w:p w14:paraId="2AC6324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科学合理设置岗位，建立健全岗位责任制，建立健全日常工作制度，保证烈士纪念设施保护管理工作科学规范运行。</w:t>
            </w:r>
          </w:p>
        </w:tc>
        <w:tc>
          <w:tcPr>
            <w:tcW w:w="463" w:type="dxa"/>
            <w:shd w:val="clear" w:color="auto" w:fill="FFFFFF"/>
            <w:noWrap w:val="0"/>
            <w:tcMar>
              <w:top w:w="15" w:type="dxa"/>
              <w:left w:w="15" w:type="dxa"/>
              <w:right w:w="15" w:type="dxa"/>
            </w:tcMar>
            <w:vAlign w:val="center"/>
          </w:tcPr>
          <w:p w14:paraId="45AF861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w:t>
            </w:r>
          </w:p>
        </w:tc>
        <w:tc>
          <w:tcPr>
            <w:tcW w:w="3683" w:type="dxa"/>
            <w:shd w:val="clear" w:color="auto" w:fill="FFFFFF"/>
            <w:noWrap w:val="0"/>
            <w:tcMar>
              <w:top w:w="15" w:type="dxa"/>
              <w:left w:w="15" w:type="dxa"/>
              <w:right w:w="15" w:type="dxa"/>
            </w:tcMar>
            <w:vAlign w:val="center"/>
          </w:tcPr>
          <w:p w14:paraId="45ED96F8">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1.岗位设置合理，建立岗位责任制及日常工作制度的得1分；</w:t>
            </w:r>
          </w:p>
          <w:p w14:paraId="04BC217C">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2.配有讲解员（专职讲解员或志愿讲解员）的得1分。</w:t>
            </w:r>
          </w:p>
        </w:tc>
        <w:tc>
          <w:tcPr>
            <w:tcW w:w="643" w:type="dxa"/>
            <w:shd w:val="clear" w:color="auto" w:fill="FFFFFF"/>
            <w:noWrap w:val="0"/>
            <w:tcMar>
              <w:top w:w="15" w:type="dxa"/>
              <w:left w:w="15" w:type="dxa"/>
              <w:right w:w="15" w:type="dxa"/>
            </w:tcMar>
            <w:vAlign w:val="center"/>
          </w:tcPr>
          <w:p w14:paraId="6BA5A5E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52A1F2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303EC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80" w:hRule="atLeast"/>
          <w:jc w:val="center"/>
        </w:trPr>
        <w:tc>
          <w:tcPr>
            <w:tcW w:w="1007" w:type="dxa"/>
            <w:vMerge w:val="continue"/>
            <w:shd w:val="clear" w:color="auto" w:fill="FFFFFF"/>
            <w:noWrap w:val="0"/>
            <w:tcMar>
              <w:top w:w="15" w:type="dxa"/>
              <w:left w:w="15" w:type="dxa"/>
              <w:right w:w="15" w:type="dxa"/>
            </w:tcMar>
            <w:vAlign w:val="center"/>
          </w:tcPr>
          <w:p w14:paraId="5B3DFA5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rPr>
                <w:rFonts w:hint="default" w:ascii="Times New Roman" w:hAnsi="Times New Roman" w:eastAsia="仿宋" w:cs="Times New Roman"/>
                <w:sz w:val="21"/>
                <w:szCs w:val="21"/>
              </w:rPr>
            </w:pPr>
          </w:p>
        </w:tc>
        <w:tc>
          <w:tcPr>
            <w:tcW w:w="504" w:type="dxa"/>
            <w:shd w:val="clear" w:color="auto" w:fill="FFFFFF"/>
            <w:noWrap w:val="0"/>
            <w:tcMar>
              <w:top w:w="15" w:type="dxa"/>
              <w:left w:w="15" w:type="dxa"/>
              <w:right w:w="15" w:type="dxa"/>
            </w:tcMar>
            <w:vAlign w:val="center"/>
          </w:tcPr>
          <w:p w14:paraId="02F46D4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086" w:type="dxa"/>
            <w:shd w:val="clear" w:color="auto" w:fill="FFFFFF"/>
            <w:noWrap w:val="0"/>
            <w:tcMar>
              <w:top w:w="15" w:type="dxa"/>
              <w:left w:w="15" w:type="dxa"/>
              <w:right w:w="15" w:type="dxa"/>
            </w:tcMar>
            <w:vAlign w:val="center"/>
          </w:tcPr>
          <w:p w14:paraId="303CF9C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合理设置烈士纪念设施功能区域，对外公布开放时间，标明引导提示标志，完善配套服务用房和设施，为社会公众创造人性化的瞻仰和悼念环境。</w:t>
            </w:r>
          </w:p>
        </w:tc>
        <w:tc>
          <w:tcPr>
            <w:tcW w:w="463" w:type="dxa"/>
            <w:shd w:val="clear" w:color="auto" w:fill="FFFFFF"/>
            <w:noWrap w:val="0"/>
            <w:tcMar>
              <w:top w:w="15" w:type="dxa"/>
              <w:left w:w="15" w:type="dxa"/>
              <w:right w:w="15" w:type="dxa"/>
            </w:tcMar>
            <w:vAlign w:val="center"/>
          </w:tcPr>
          <w:p w14:paraId="71FA283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2276A39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1.烈士纪念设施功能区域设置合理、引导提示标志明晰的得2分；</w:t>
            </w:r>
          </w:p>
          <w:p w14:paraId="7D850FEF">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2.对外公布开放时间的得0.5分；</w:t>
            </w:r>
          </w:p>
          <w:p w14:paraId="00E10B29">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3.服务用房和设施齐备的得1.5分。</w:t>
            </w:r>
          </w:p>
        </w:tc>
        <w:tc>
          <w:tcPr>
            <w:tcW w:w="643" w:type="dxa"/>
            <w:shd w:val="clear" w:color="auto" w:fill="FFFFFF"/>
            <w:noWrap w:val="0"/>
            <w:tcMar>
              <w:top w:w="15" w:type="dxa"/>
              <w:left w:w="15" w:type="dxa"/>
              <w:right w:w="15" w:type="dxa"/>
            </w:tcMar>
            <w:vAlign w:val="center"/>
          </w:tcPr>
          <w:p w14:paraId="78B81FD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74512B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09D65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atLeast"/>
          <w:jc w:val="center"/>
        </w:trPr>
        <w:tc>
          <w:tcPr>
            <w:tcW w:w="1007" w:type="dxa"/>
            <w:vMerge w:val="continue"/>
            <w:shd w:val="clear" w:color="auto" w:fill="FFFFFF"/>
            <w:noWrap w:val="0"/>
            <w:tcMar>
              <w:top w:w="15" w:type="dxa"/>
              <w:left w:w="15" w:type="dxa"/>
              <w:right w:w="15" w:type="dxa"/>
            </w:tcMar>
            <w:vAlign w:val="center"/>
          </w:tcPr>
          <w:p w14:paraId="1AB403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231B149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6</w:t>
            </w:r>
          </w:p>
        </w:tc>
        <w:tc>
          <w:tcPr>
            <w:tcW w:w="3086" w:type="dxa"/>
            <w:shd w:val="clear" w:color="auto" w:fill="FFFFFF"/>
            <w:noWrap w:val="0"/>
            <w:tcMar>
              <w:top w:w="15" w:type="dxa"/>
              <w:left w:w="15" w:type="dxa"/>
              <w:right w:w="15" w:type="dxa"/>
            </w:tcMar>
            <w:vAlign w:val="center"/>
          </w:tcPr>
          <w:p w14:paraId="488A511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烈士墓区要规划科学、布局合理。烈士墓形制统一、用材优良。墓碑碑文字迹工整，碑文内容应镌刻烈士姓名、性别、民族、籍贯、出生年月、牺牲时间、单位、职务、简要事迹等基本信息。</w:t>
            </w:r>
          </w:p>
        </w:tc>
        <w:tc>
          <w:tcPr>
            <w:tcW w:w="463" w:type="dxa"/>
            <w:shd w:val="clear" w:color="auto" w:fill="FFFFFF"/>
            <w:noWrap w:val="0"/>
            <w:tcMar>
              <w:top w:w="15" w:type="dxa"/>
              <w:left w:w="15" w:type="dxa"/>
              <w:right w:w="15" w:type="dxa"/>
            </w:tcMar>
            <w:vAlign w:val="center"/>
          </w:tcPr>
          <w:p w14:paraId="70EFB96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575255A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1.烈士墓区规划科学、布局合理的得1分；</w:t>
            </w:r>
          </w:p>
          <w:p w14:paraId="70CE02E2">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2.烈士墓形制统一、用材优良的得1分；</w:t>
            </w:r>
          </w:p>
          <w:p w14:paraId="7CFD3AA0">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3.墓碑碑文字迹工整、清晰的得1分；</w:t>
            </w:r>
          </w:p>
          <w:p w14:paraId="0DC34F5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4.烈士基本信息镌刻完整的得1分。</w:t>
            </w:r>
          </w:p>
        </w:tc>
        <w:tc>
          <w:tcPr>
            <w:tcW w:w="643" w:type="dxa"/>
            <w:shd w:val="clear" w:color="auto" w:fill="FFFFFF"/>
            <w:noWrap w:val="0"/>
            <w:tcMar>
              <w:top w:w="15" w:type="dxa"/>
              <w:left w:w="15" w:type="dxa"/>
              <w:right w:w="15" w:type="dxa"/>
            </w:tcMar>
            <w:vAlign w:val="center"/>
          </w:tcPr>
          <w:p w14:paraId="021EF6B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8C8E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35613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50" w:hRule="atLeast"/>
          <w:jc w:val="center"/>
        </w:trPr>
        <w:tc>
          <w:tcPr>
            <w:tcW w:w="1007" w:type="dxa"/>
            <w:vMerge w:val="continue"/>
            <w:shd w:val="clear" w:color="auto" w:fill="FFFFFF"/>
            <w:noWrap w:val="0"/>
            <w:tcMar>
              <w:top w:w="15" w:type="dxa"/>
              <w:left w:w="15" w:type="dxa"/>
              <w:right w:w="15" w:type="dxa"/>
            </w:tcMar>
            <w:vAlign w:val="center"/>
          </w:tcPr>
          <w:p w14:paraId="542443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0115BBC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7</w:t>
            </w:r>
          </w:p>
        </w:tc>
        <w:tc>
          <w:tcPr>
            <w:tcW w:w="3086" w:type="dxa"/>
            <w:shd w:val="clear" w:color="auto" w:fill="FFFFFF"/>
            <w:noWrap w:val="0"/>
            <w:tcMar>
              <w:top w:w="15" w:type="dxa"/>
              <w:left w:w="15" w:type="dxa"/>
              <w:right w:w="15" w:type="dxa"/>
            </w:tcMar>
            <w:vAlign w:val="center"/>
          </w:tcPr>
          <w:p w14:paraId="72A271E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烈士纪念碑亭、塔祠、塑像、英名墙、骨灰堂等设施要外观完整、清洁，镌刻的题词、碑文、烈士名录清晰，用字规范，无褪色、脱落。</w:t>
            </w:r>
          </w:p>
        </w:tc>
        <w:tc>
          <w:tcPr>
            <w:tcW w:w="463" w:type="dxa"/>
            <w:shd w:val="clear" w:color="auto" w:fill="FFFFFF"/>
            <w:noWrap w:val="0"/>
            <w:tcMar>
              <w:top w:w="15" w:type="dxa"/>
              <w:left w:w="15" w:type="dxa"/>
              <w:right w:w="15" w:type="dxa"/>
            </w:tcMar>
            <w:vAlign w:val="center"/>
          </w:tcPr>
          <w:p w14:paraId="3359CBC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593A30C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1.烈士纪念碑亭、塔祠、塑像、英名墙、骨灰堂等设施外观完整、清洁的得2.5分；</w:t>
            </w:r>
          </w:p>
          <w:p w14:paraId="4C4DFA03">
            <w:pP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kern w:val="0"/>
                <w:sz w:val="21"/>
                <w:szCs w:val="21"/>
                <w:lang w:val="en-US" w:eastAsia="zh-CN" w:bidi="ar-SA"/>
              </w:rPr>
              <w:t>2.镌刻的题词、碑文、烈士名录清晰，用字规范、无错别字，字体无褪色、脱落的得2.5分。</w:t>
            </w:r>
          </w:p>
        </w:tc>
        <w:tc>
          <w:tcPr>
            <w:tcW w:w="643" w:type="dxa"/>
            <w:shd w:val="clear" w:color="auto" w:fill="FFFFFF"/>
            <w:noWrap w:val="0"/>
            <w:tcMar>
              <w:top w:w="15" w:type="dxa"/>
              <w:left w:w="15" w:type="dxa"/>
              <w:right w:w="15" w:type="dxa"/>
            </w:tcMar>
            <w:vAlign w:val="center"/>
          </w:tcPr>
          <w:p w14:paraId="010834F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D4D01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C633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jc w:val="center"/>
        </w:trPr>
        <w:tc>
          <w:tcPr>
            <w:tcW w:w="1007" w:type="dxa"/>
            <w:vMerge w:val="continue"/>
            <w:shd w:val="clear" w:color="auto" w:fill="FFFFFF"/>
            <w:noWrap w:val="0"/>
            <w:tcMar>
              <w:top w:w="15" w:type="dxa"/>
              <w:left w:w="15" w:type="dxa"/>
              <w:right w:w="15" w:type="dxa"/>
            </w:tcMar>
            <w:vAlign w:val="center"/>
          </w:tcPr>
          <w:p w14:paraId="09340F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6DC59F5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8</w:t>
            </w:r>
          </w:p>
        </w:tc>
        <w:tc>
          <w:tcPr>
            <w:tcW w:w="3086" w:type="dxa"/>
            <w:shd w:val="clear" w:color="auto" w:fill="FFFFFF"/>
            <w:noWrap w:val="0"/>
            <w:tcMar>
              <w:top w:w="15" w:type="dxa"/>
              <w:left w:w="15" w:type="dxa"/>
              <w:right w:w="15" w:type="dxa"/>
            </w:tcMar>
            <w:vAlign w:val="center"/>
          </w:tcPr>
          <w:p w14:paraId="28A528B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烈士纪念广场位置设置合理、面积适中、地面平坦整洁。</w:t>
            </w:r>
          </w:p>
        </w:tc>
        <w:tc>
          <w:tcPr>
            <w:tcW w:w="463" w:type="dxa"/>
            <w:shd w:val="clear" w:color="auto" w:fill="FFFFFF"/>
            <w:noWrap w:val="0"/>
            <w:tcMar>
              <w:top w:w="15" w:type="dxa"/>
              <w:left w:w="15" w:type="dxa"/>
              <w:right w:w="15" w:type="dxa"/>
            </w:tcMar>
            <w:vAlign w:val="center"/>
          </w:tcPr>
          <w:p w14:paraId="76A942C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w:t>
            </w:r>
          </w:p>
        </w:tc>
        <w:tc>
          <w:tcPr>
            <w:tcW w:w="3683" w:type="dxa"/>
            <w:shd w:val="clear" w:color="auto" w:fill="FFFFFF"/>
            <w:noWrap w:val="0"/>
            <w:tcMar>
              <w:top w:w="15" w:type="dxa"/>
              <w:left w:w="15" w:type="dxa"/>
              <w:right w:w="15" w:type="dxa"/>
            </w:tcMar>
            <w:vAlign w:val="center"/>
          </w:tcPr>
          <w:p w14:paraId="033445A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kern w:val="0"/>
                <w:sz w:val="21"/>
                <w:szCs w:val="21"/>
                <w:lang w:val="en-US" w:eastAsia="zh-CN" w:bidi="ar-SA"/>
              </w:rPr>
              <w:t>设有烈士纪念广场，能较好地满足集体纪念烈士活动需要的得1分。</w:t>
            </w:r>
          </w:p>
        </w:tc>
        <w:tc>
          <w:tcPr>
            <w:tcW w:w="643" w:type="dxa"/>
            <w:shd w:val="clear" w:color="auto" w:fill="FFFFFF"/>
            <w:noWrap w:val="0"/>
            <w:tcMar>
              <w:top w:w="15" w:type="dxa"/>
              <w:left w:w="15" w:type="dxa"/>
              <w:right w:w="15" w:type="dxa"/>
            </w:tcMar>
            <w:vAlign w:val="center"/>
          </w:tcPr>
          <w:p w14:paraId="3493D32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4A142C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327B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0" w:hRule="atLeast"/>
          <w:jc w:val="center"/>
        </w:trPr>
        <w:tc>
          <w:tcPr>
            <w:tcW w:w="1007" w:type="dxa"/>
            <w:vMerge w:val="restart"/>
            <w:shd w:val="clear" w:color="auto" w:fill="FFFFFF"/>
            <w:noWrap w:val="0"/>
            <w:tcMar>
              <w:top w:w="15" w:type="dxa"/>
              <w:left w:w="15" w:type="dxa"/>
              <w:right w:w="15" w:type="dxa"/>
            </w:tcMar>
            <w:vAlign w:val="center"/>
          </w:tcPr>
          <w:p w14:paraId="585044E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二、烈士安葬和祭扫服务(16分)</w:t>
            </w:r>
          </w:p>
        </w:tc>
        <w:tc>
          <w:tcPr>
            <w:tcW w:w="504" w:type="dxa"/>
            <w:shd w:val="clear" w:color="auto" w:fill="FFFFFF"/>
            <w:noWrap w:val="0"/>
            <w:tcMar>
              <w:top w:w="15" w:type="dxa"/>
              <w:left w:w="15" w:type="dxa"/>
              <w:right w:w="15" w:type="dxa"/>
            </w:tcMar>
            <w:vAlign w:val="center"/>
          </w:tcPr>
          <w:p w14:paraId="4CB8676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9</w:t>
            </w:r>
          </w:p>
        </w:tc>
        <w:tc>
          <w:tcPr>
            <w:tcW w:w="3086" w:type="dxa"/>
            <w:shd w:val="clear" w:color="auto" w:fill="FFFFFF"/>
            <w:noWrap w:val="0"/>
            <w:tcMar>
              <w:top w:w="15" w:type="dxa"/>
              <w:left w:w="15" w:type="dxa"/>
              <w:right w:w="15" w:type="dxa"/>
            </w:tcMar>
            <w:vAlign w:val="center"/>
          </w:tcPr>
          <w:p w14:paraId="7285827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建立健全烈士安葬、凭吊瞻仰、祭扫等制度规定，明确相关礼仪规范标准。</w:t>
            </w:r>
          </w:p>
        </w:tc>
        <w:tc>
          <w:tcPr>
            <w:tcW w:w="463" w:type="dxa"/>
            <w:shd w:val="clear" w:color="auto" w:fill="FFFFFF"/>
            <w:noWrap w:val="0"/>
            <w:tcMar>
              <w:top w:w="15" w:type="dxa"/>
              <w:left w:w="15" w:type="dxa"/>
              <w:right w:w="15" w:type="dxa"/>
            </w:tcMar>
            <w:vAlign w:val="center"/>
          </w:tcPr>
          <w:p w14:paraId="5E29021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6251F0D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有烈士安葬、凭吊瞻仰祭扫、接待服务等制度规定和服务礼仪规范，每项得1分，累计4分。</w:t>
            </w:r>
          </w:p>
        </w:tc>
        <w:tc>
          <w:tcPr>
            <w:tcW w:w="643" w:type="dxa"/>
            <w:shd w:val="clear" w:color="auto" w:fill="FFFFFF"/>
            <w:noWrap w:val="0"/>
            <w:tcMar>
              <w:top w:w="15" w:type="dxa"/>
              <w:left w:w="15" w:type="dxa"/>
              <w:right w:w="15" w:type="dxa"/>
            </w:tcMar>
            <w:vAlign w:val="center"/>
          </w:tcPr>
          <w:p w14:paraId="69125B6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5DE4E2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77DB5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50" w:hRule="atLeast"/>
          <w:jc w:val="center"/>
        </w:trPr>
        <w:tc>
          <w:tcPr>
            <w:tcW w:w="1007" w:type="dxa"/>
            <w:vMerge w:val="continue"/>
            <w:shd w:val="clear" w:color="auto" w:fill="FFFFFF"/>
            <w:noWrap w:val="0"/>
            <w:tcMar>
              <w:top w:w="15" w:type="dxa"/>
              <w:left w:w="15" w:type="dxa"/>
              <w:right w:w="15" w:type="dxa"/>
            </w:tcMar>
            <w:vAlign w:val="center"/>
          </w:tcPr>
          <w:p w14:paraId="72E8F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5099ECB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10</w:t>
            </w:r>
          </w:p>
        </w:tc>
        <w:tc>
          <w:tcPr>
            <w:tcW w:w="3086" w:type="dxa"/>
            <w:shd w:val="clear" w:color="auto" w:fill="FFFFFF"/>
            <w:noWrap w:val="0"/>
            <w:tcMar>
              <w:top w:w="15" w:type="dxa"/>
              <w:left w:w="15" w:type="dxa"/>
              <w:right w:w="15" w:type="dxa"/>
            </w:tcMar>
            <w:vAlign w:val="center"/>
          </w:tcPr>
          <w:p w14:paraId="577B8C0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烈士纪念日举行公祭烈士活动。</w:t>
            </w:r>
          </w:p>
        </w:tc>
        <w:tc>
          <w:tcPr>
            <w:tcW w:w="463" w:type="dxa"/>
            <w:shd w:val="clear" w:color="auto" w:fill="FFFFFF"/>
            <w:noWrap w:val="0"/>
            <w:tcMar>
              <w:top w:w="15" w:type="dxa"/>
              <w:left w:w="15" w:type="dxa"/>
              <w:right w:w="15" w:type="dxa"/>
            </w:tcMar>
            <w:vAlign w:val="center"/>
          </w:tcPr>
          <w:p w14:paraId="5EBC9BF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4DF5BCF2">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1.制定烈士纪念日公祭烈士活动方案的得1分；</w:t>
            </w:r>
          </w:p>
          <w:p w14:paraId="2D876CC0">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2.落实烈士纪念日公祭活动经费保障的得1分；</w:t>
            </w:r>
          </w:p>
          <w:p w14:paraId="6D0920FA">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3.烈士纪念日公祭活动组织有序的得2分。</w:t>
            </w:r>
          </w:p>
        </w:tc>
        <w:tc>
          <w:tcPr>
            <w:tcW w:w="643" w:type="dxa"/>
            <w:shd w:val="clear" w:color="auto" w:fill="FFFFFF"/>
            <w:noWrap w:val="0"/>
            <w:tcMar>
              <w:top w:w="15" w:type="dxa"/>
              <w:left w:w="15" w:type="dxa"/>
              <w:right w:w="15" w:type="dxa"/>
            </w:tcMar>
            <w:vAlign w:val="center"/>
          </w:tcPr>
          <w:p w14:paraId="285D878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A7434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3AA9B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20" w:hRule="atLeast"/>
          <w:jc w:val="center"/>
        </w:trPr>
        <w:tc>
          <w:tcPr>
            <w:tcW w:w="1007" w:type="dxa"/>
            <w:vMerge w:val="continue"/>
            <w:shd w:val="clear" w:color="auto" w:fill="FFFFFF"/>
            <w:noWrap w:val="0"/>
            <w:tcMar>
              <w:top w:w="15" w:type="dxa"/>
              <w:left w:w="15" w:type="dxa"/>
              <w:right w:w="15" w:type="dxa"/>
            </w:tcMar>
            <w:vAlign w:val="center"/>
          </w:tcPr>
          <w:p w14:paraId="40AE869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04" w:type="dxa"/>
            <w:shd w:val="clear" w:color="auto" w:fill="FFFFFF"/>
            <w:noWrap w:val="0"/>
            <w:tcMar>
              <w:top w:w="15" w:type="dxa"/>
              <w:left w:w="15" w:type="dxa"/>
              <w:right w:w="15" w:type="dxa"/>
            </w:tcMar>
            <w:vAlign w:val="center"/>
          </w:tcPr>
          <w:p w14:paraId="661CA20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11</w:t>
            </w:r>
          </w:p>
        </w:tc>
        <w:tc>
          <w:tcPr>
            <w:tcW w:w="3086" w:type="dxa"/>
            <w:shd w:val="clear" w:color="auto" w:fill="FFFFFF"/>
            <w:noWrap w:val="0"/>
            <w:tcMar>
              <w:top w:w="15" w:type="dxa"/>
              <w:left w:w="15" w:type="dxa"/>
              <w:right w:w="15" w:type="dxa"/>
            </w:tcMar>
            <w:vAlign w:val="center"/>
          </w:tcPr>
          <w:p w14:paraId="28FF20A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积极配合机关、团体、企事业单位和部队开展经常性的烈士纪念和主题教育实践活动，精心组织烈属和社会公众日常祭扫和瞻仰活动，提供必要的祭扫用品，做好引导、讲解等服务工作。</w:t>
            </w:r>
          </w:p>
        </w:tc>
        <w:tc>
          <w:tcPr>
            <w:tcW w:w="463" w:type="dxa"/>
            <w:shd w:val="clear" w:color="auto" w:fill="FFFFFF"/>
            <w:noWrap w:val="0"/>
            <w:tcMar>
              <w:top w:w="15" w:type="dxa"/>
              <w:left w:w="15" w:type="dxa"/>
              <w:right w:w="15" w:type="dxa"/>
            </w:tcMar>
            <w:vAlign w:val="center"/>
          </w:tcPr>
          <w:p w14:paraId="44EF8CF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5ADFEB3D">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1.常态化组织活动的得1分；</w:t>
            </w:r>
          </w:p>
          <w:p w14:paraId="007203EA">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2.免费为烈属和社会公众日常祭扫和瞻仰提供必要的祭扫用品的得1分；</w:t>
            </w:r>
          </w:p>
          <w:p w14:paraId="7BD42D09">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3.积极提供引导、讲解等服务的得1分；</w:t>
            </w:r>
          </w:p>
          <w:p w14:paraId="3151E9A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4.工作人员服务意识强、态度热情的得1分。</w:t>
            </w:r>
          </w:p>
        </w:tc>
        <w:tc>
          <w:tcPr>
            <w:tcW w:w="643" w:type="dxa"/>
            <w:shd w:val="clear" w:color="auto" w:fill="FFFFFF"/>
            <w:noWrap w:val="0"/>
            <w:tcMar>
              <w:top w:w="15" w:type="dxa"/>
              <w:left w:w="15" w:type="dxa"/>
              <w:right w:w="15" w:type="dxa"/>
            </w:tcMar>
            <w:vAlign w:val="center"/>
          </w:tcPr>
          <w:p w14:paraId="5CE6D5F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D260D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48FE0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0" w:hRule="atLeast"/>
          <w:jc w:val="center"/>
        </w:trPr>
        <w:tc>
          <w:tcPr>
            <w:tcW w:w="1007" w:type="dxa"/>
            <w:vMerge w:val="continue"/>
            <w:shd w:val="clear" w:color="auto" w:fill="FFFFFF"/>
            <w:noWrap w:val="0"/>
            <w:tcMar>
              <w:top w:w="15" w:type="dxa"/>
              <w:left w:w="15" w:type="dxa"/>
              <w:right w:w="15" w:type="dxa"/>
            </w:tcMar>
            <w:vAlign w:val="center"/>
          </w:tcPr>
          <w:p w14:paraId="5AC4C7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3126138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12</w:t>
            </w:r>
          </w:p>
        </w:tc>
        <w:tc>
          <w:tcPr>
            <w:tcW w:w="3086" w:type="dxa"/>
            <w:shd w:val="clear" w:color="auto" w:fill="FFFFFF"/>
            <w:noWrap w:val="0"/>
            <w:tcMar>
              <w:top w:w="15" w:type="dxa"/>
              <w:left w:w="15" w:type="dxa"/>
              <w:right w:w="15" w:type="dxa"/>
            </w:tcMar>
            <w:vAlign w:val="center"/>
          </w:tcPr>
          <w:p w14:paraId="0F4A5DB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对年老体弱、身体残疾、少年儿童等特殊群体，提供人性化服务，方便其进行参观、凭吊、祭扫等活动。</w:t>
            </w:r>
          </w:p>
        </w:tc>
        <w:tc>
          <w:tcPr>
            <w:tcW w:w="463" w:type="dxa"/>
            <w:shd w:val="clear" w:color="auto" w:fill="FFFFFF"/>
            <w:noWrap w:val="0"/>
            <w:tcMar>
              <w:top w:w="15" w:type="dxa"/>
              <w:left w:w="15" w:type="dxa"/>
              <w:right w:w="15" w:type="dxa"/>
            </w:tcMar>
            <w:vAlign w:val="center"/>
          </w:tcPr>
          <w:p w14:paraId="73A23A8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w:t>
            </w:r>
          </w:p>
        </w:tc>
        <w:tc>
          <w:tcPr>
            <w:tcW w:w="3683" w:type="dxa"/>
            <w:shd w:val="clear" w:color="auto" w:fill="FFFFFF"/>
            <w:noWrap w:val="0"/>
            <w:tcMar>
              <w:top w:w="15" w:type="dxa"/>
              <w:left w:w="15" w:type="dxa"/>
              <w:right w:w="15" w:type="dxa"/>
            </w:tcMar>
            <w:vAlign w:val="center"/>
          </w:tcPr>
          <w:p w14:paraId="5D829572">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对年老体弱、身体残疾、少年儿童等特殊群体，提供人性化服务，方便其进行参观、凭吊、祭扫等活动的得1分。</w:t>
            </w:r>
          </w:p>
        </w:tc>
        <w:tc>
          <w:tcPr>
            <w:tcW w:w="643" w:type="dxa"/>
            <w:shd w:val="clear" w:color="auto" w:fill="FFFFFF"/>
            <w:noWrap w:val="0"/>
            <w:tcMar>
              <w:top w:w="15" w:type="dxa"/>
              <w:left w:w="15" w:type="dxa"/>
              <w:right w:w="15" w:type="dxa"/>
            </w:tcMar>
            <w:vAlign w:val="center"/>
          </w:tcPr>
          <w:p w14:paraId="05B2346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1F4EA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1D8C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50" w:hRule="atLeast"/>
          <w:jc w:val="center"/>
        </w:trPr>
        <w:tc>
          <w:tcPr>
            <w:tcW w:w="1007" w:type="dxa"/>
            <w:vMerge w:val="continue"/>
            <w:shd w:val="clear" w:color="auto" w:fill="FFFFFF"/>
            <w:noWrap w:val="0"/>
            <w:tcMar>
              <w:top w:w="15" w:type="dxa"/>
              <w:left w:w="15" w:type="dxa"/>
              <w:right w:w="15" w:type="dxa"/>
            </w:tcMar>
            <w:vAlign w:val="center"/>
          </w:tcPr>
          <w:p w14:paraId="27452B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717661D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13</w:t>
            </w:r>
          </w:p>
        </w:tc>
        <w:tc>
          <w:tcPr>
            <w:tcW w:w="3086" w:type="dxa"/>
            <w:shd w:val="clear" w:color="auto" w:fill="FFFFFF"/>
            <w:noWrap w:val="0"/>
            <w:tcMar>
              <w:top w:w="15" w:type="dxa"/>
              <w:left w:w="15" w:type="dxa"/>
              <w:right w:w="15" w:type="dxa"/>
            </w:tcMar>
            <w:vAlign w:val="center"/>
          </w:tcPr>
          <w:p w14:paraId="4E1E20A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动员和引导社会力量支持烈士纪念活动，制定社会捐赠、志愿服务、义务劳动等方面的制度规定。</w:t>
            </w:r>
          </w:p>
        </w:tc>
        <w:tc>
          <w:tcPr>
            <w:tcW w:w="463" w:type="dxa"/>
            <w:shd w:val="clear" w:color="auto" w:fill="FFFFFF"/>
            <w:noWrap w:val="0"/>
            <w:tcMar>
              <w:top w:w="15" w:type="dxa"/>
              <w:left w:w="15" w:type="dxa"/>
              <w:right w:w="15" w:type="dxa"/>
            </w:tcMar>
            <w:vAlign w:val="center"/>
          </w:tcPr>
          <w:p w14:paraId="234DCB9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3</w:t>
            </w:r>
          </w:p>
        </w:tc>
        <w:tc>
          <w:tcPr>
            <w:tcW w:w="3683" w:type="dxa"/>
            <w:shd w:val="clear" w:color="auto" w:fill="FFFFFF"/>
            <w:noWrap w:val="0"/>
            <w:tcMar>
              <w:top w:w="15" w:type="dxa"/>
              <w:left w:w="15" w:type="dxa"/>
              <w:right w:w="15" w:type="dxa"/>
            </w:tcMar>
            <w:vAlign w:val="center"/>
          </w:tcPr>
          <w:p w14:paraId="7405788C">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1.动员和引导社会力量开展志愿服务得1分、10批次以上（含10批次）的得2分；</w:t>
            </w:r>
          </w:p>
          <w:p w14:paraId="159EDBA8">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2.建立社会捐赠、志愿服务、义务劳动等相关制度规定，组织相关活动得1分。</w:t>
            </w:r>
          </w:p>
        </w:tc>
        <w:tc>
          <w:tcPr>
            <w:tcW w:w="643" w:type="dxa"/>
            <w:shd w:val="clear" w:color="auto" w:fill="FFFFFF"/>
            <w:noWrap w:val="0"/>
            <w:tcMar>
              <w:top w:w="15" w:type="dxa"/>
              <w:left w:w="15" w:type="dxa"/>
              <w:right w:w="15" w:type="dxa"/>
            </w:tcMar>
            <w:vAlign w:val="center"/>
          </w:tcPr>
          <w:p w14:paraId="4DA70F8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2DCFE2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7F13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20" w:hRule="atLeast"/>
          <w:jc w:val="center"/>
        </w:trPr>
        <w:tc>
          <w:tcPr>
            <w:tcW w:w="1007" w:type="dxa"/>
            <w:vMerge w:val="restart"/>
            <w:shd w:val="clear" w:color="auto" w:fill="FFFFFF"/>
            <w:noWrap w:val="0"/>
            <w:tcMar>
              <w:top w:w="15" w:type="dxa"/>
              <w:left w:w="15" w:type="dxa"/>
              <w:right w:w="15" w:type="dxa"/>
            </w:tcMar>
            <w:vAlign w:val="center"/>
          </w:tcPr>
          <w:p w14:paraId="58A469A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p>
          <w:p w14:paraId="1B01480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三、教育宣传作用（23分）</w:t>
            </w:r>
          </w:p>
          <w:p w14:paraId="2C18880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p>
        </w:tc>
        <w:tc>
          <w:tcPr>
            <w:tcW w:w="504" w:type="dxa"/>
            <w:shd w:val="clear" w:color="auto" w:fill="FFFFFF"/>
            <w:noWrap w:val="0"/>
            <w:tcMar>
              <w:top w:w="15" w:type="dxa"/>
              <w:left w:w="15" w:type="dxa"/>
              <w:right w:w="15" w:type="dxa"/>
            </w:tcMar>
            <w:vAlign w:val="center"/>
          </w:tcPr>
          <w:p w14:paraId="4D876B1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14</w:t>
            </w:r>
          </w:p>
        </w:tc>
        <w:tc>
          <w:tcPr>
            <w:tcW w:w="3086" w:type="dxa"/>
            <w:shd w:val="clear" w:color="auto" w:fill="FFFFFF"/>
            <w:noWrap w:val="0"/>
            <w:tcMar>
              <w:top w:w="15" w:type="dxa"/>
              <w:left w:w="15" w:type="dxa"/>
              <w:right w:w="15" w:type="dxa"/>
            </w:tcMar>
            <w:vAlign w:val="center"/>
          </w:tcPr>
          <w:p w14:paraId="420F5CA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加强文献史料、烈士英雄事迹的搜集整理和研究编纂，深入挖掘不同历史时期烈士的精神内涵。</w:t>
            </w:r>
          </w:p>
        </w:tc>
        <w:tc>
          <w:tcPr>
            <w:tcW w:w="463" w:type="dxa"/>
            <w:shd w:val="clear" w:color="auto" w:fill="FFFFFF"/>
            <w:noWrap w:val="0"/>
            <w:tcMar>
              <w:top w:w="15" w:type="dxa"/>
              <w:left w:w="15" w:type="dxa"/>
              <w:right w:w="15" w:type="dxa"/>
            </w:tcMar>
            <w:vAlign w:val="center"/>
          </w:tcPr>
          <w:p w14:paraId="071B9B0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4FD19D8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1.创办内部宣传刊物，免费向社会发放的得1分；</w:t>
            </w:r>
          </w:p>
          <w:p w14:paraId="4D845E0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2.在市级及以上刊物或媒体每发表1篇研究文章得1分，累计不超过4分。</w:t>
            </w:r>
          </w:p>
        </w:tc>
        <w:tc>
          <w:tcPr>
            <w:tcW w:w="643" w:type="dxa"/>
            <w:shd w:val="clear" w:color="auto" w:fill="FFFFFF"/>
            <w:noWrap w:val="0"/>
            <w:tcMar>
              <w:top w:w="15" w:type="dxa"/>
              <w:left w:w="15" w:type="dxa"/>
              <w:right w:w="15" w:type="dxa"/>
            </w:tcMar>
            <w:vAlign w:val="center"/>
          </w:tcPr>
          <w:p w14:paraId="4177DFA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7CD005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4CEDE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65" w:hRule="atLeast"/>
          <w:jc w:val="center"/>
        </w:trPr>
        <w:tc>
          <w:tcPr>
            <w:tcW w:w="1007" w:type="dxa"/>
            <w:vMerge w:val="continue"/>
            <w:shd w:val="clear" w:color="auto" w:fill="FFFFFF"/>
            <w:noWrap w:val="0"/>
            <w:tcMar>
              <w:top w:w="15" w:type="dxa"/>
              <w:left w:w="15" w:type="dxa"/>
              <w:right w:w="15" w:type="dxa"/>
            </w:tcMar>
            <w:vAlign w:val="center"/>
          </w:tcPr>
          <w:p w14:paraId="71F99E4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p>
        </w:tc>
        <w:tc>
          <w:tcPr>
            <w:tcW w:w="504" w:type="dxa"/>
            <w:shd w:val="clear" w:color="auto" w:fill="FFFFFF"/>
            <w:noWrap w:val="0"/>
            <w:tcMar>
              <w:top w:w="15" w:type="dxa"/>
              <w:left w:w="15" w:type="dxa"/>
              <w:right w:w="15" w:type="dxa"/>
            </w:tcMar>
            <w:vAlign w:val="center"/>
          </w:tcPr>
          <w:p w14:paraId="74E7BD6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15</w:t>
            </w:r>
          </w:p>
        </w:tc>
        <w:tc>
          <w:tcPr>
            <w:tcW w:w="3086" w:type="dxa"/>
            <w:shd w:val="clear" w:color="auto" w:fill="FFFFFF"/>
            <w:noWrap w:val="0"/>
            <w:tcMar>
              <w:top w:w="15" w:type="dxa"/>
              <w:left w:w="15" w:type="dxa"/>
              <w:right w:w="15" w:type="dxa"/>
            </w:tcMar>
            <w:vAlign w:val="center"/>
          </w:tcPr>
          <w:p w14:paraId="01047B5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经常开展专题展览、烈士英雄事迹宣讲、红色经典影视展播等多种形式的主题教育活动，广泛宣扬烈士精神和优良传统。积极开展共建活动，有计划地组织流动小分队，深入机关、企事业单位、社区、农村、学校、驻军等开展巡回展览和宣讲活动，宣传烈士英雄事迹。为群众提供独具特色的红色文化活动场所，将弘扬烈士精神融入群众性文化活动中。</w:t>
            </w:r>
          </w:p>
        </w:tc>
        <w:tc>
          <w:tcPr>
            <w:tcW w:w="463" w:type="dxa"/>
            <w:shd w:val="clear" w:color="auto" w:fill="FFFFFF"/>
            <w:noWrap w:val="0"/>
            <w:tcMar>
              <w:top w:w="15" w:type="dxa"/>
              <w:left w:w="15" w:type="dxa"/>
              <w:right w:w="15" w:type="dxa"/>
            </w:tcMar>
            <w:vAlign w:val="center"/>
          </w:tcPr>
          <w:p w14:paraId="191499A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6</w:t>
            </w:r>
          </w:p>
        </w:tc>
        <w:tc>
          <w:tcPr>
            <w:tcW w:w="3683" w:type="dxa"/>
            <w:shd w:val="clear" w:color="auto" w:fill="FFFFFF"/>
            <w:noWrap w:val="0"/>
            <w:tcMar>
              <w:top w:w="15" w:type="dxa"/>
              <w:left w:w="15" w:type="dxa"/>
              <w:right w:w="15" w:type="dxa"/>
            </w:tcMar>
            <w:vAlign w:val="center"/>
          </w:tcPr>
          <w:p w14:paraId="2E0C4E1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1.制定年度宣传计划的得1分；</w:t>
            </w:r>
          </w:p>
          <w:p w14:paraId="5073622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2.每年按计划组织流动小分队开展专题展览、烈士英雄事迹宣讲、红色经典影视展播等多种形式的宣传活动，每开展1项得0.5分，累计不超过3分；</w:t>
            </w:r>
          </w:p>
          <w:p w14:paraId="639D18A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3.与当地社区、学校、驻军等开展结对共建的得1分；</w:t>
            </w:r>
          </w:p>
          <w:p w14:paraId="450C6D02">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4.在适当区域设置以宣传烈士事迹、弘扬烈士精神为主题的展板、海报等，营造良好宣传氛围的得1分。</w:t>
            </w:r>
          </w:p>
        </w:tc>
        <w:tc>
          <w:tcPr>
            <w:tcW w:w="643" w:type="dxa"/>
            <w:shd w:val="clear" w:color="auto" w:fill="FFFFFF"/>
            <w:noWrap w:val="0"/>
            <w:tcMar>
              <w:top w:w="15" w:type="dxa"/>
              <w:left w:w="15" w:type="dxa"/>
              <w:right w:w="15" w:type="dxa"/>
            </w:tcMar>
            <w:vAlign w:val="center"/>
          </w:tcPr>
          <w:p w14:paraId="15EC3D0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67179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C4B1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94" w:hRule="atLeast"/>
          <w:jc w:val="center"/>
        </w:trPr>
        <w:tc>
          <w:tcPr>
            <w:tcW w:w="1007" w:type="dxa"/>
            <w:vMerge w:val="continue"/>
            <w:shd w:val="clear" w:color="auto" w:fill="FFFFFF"/>
            <w:noWrap w:val="0"/>
            <w:tcMar>
              <w:top w:w="15" w:type="dxa"/>
              <w:left w:w="15" w:type="dxa"/>
              <w:right w:w="15" w:type="dxa"/>
            </w:tcMar>
            <w:vAlign w:val="center"/>
          </w:tcPr>
          <w:p w14:paraId="51324F6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p>
        </w:tc>
        <w:tc>
          <w:tcPr>
            <w:tcW w:w="504" w:type="dxa"/>
            <w:shd w:val="clear" w:color="auto" w:fill="FFFFFF"/>
            <w:noWrap w:val="0"/>
            <w:tcMar>
              <w:top w:w="15" w:type="dxa"/>
              <w:left w:w="15" w:type="dxa"/>
              <w:right w:w="15" w:type="dxa"/>
            </w:tcMar>
            <w:vAlign w:val="center"/>
          </w:tcPr>
          <w:p w14:paraId="771CAD0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16</w:t>
            </w:r>
          </w:p>
        </w:tc>
        <w:tc>
          <w:tcPr>
            <w:tcW w:w="3086" w:type="dxa"/>
            <w:shd w:val="clear" w:color="auto" w:fill="FFFFFF"/>
            <w:noWrap w:val="0"/>
            <w:tcMar>
              <w:top w:w="15" w:type="dxa"/>
              <w:left w:w="15" w:type="dxa"/>
              <w:right w:w="15" w:type="dxa"/>
            </w:tcMar>
            <w:vAlign w:val="center"/>
          </w:tcPr>
          <w:p w14:paraId="1BD568A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加大网络教育宣传力度，定期更新丰富本地退役军人事务局官网、微信号等褒扬纪念展示内容，有条件的可建立专门宣传平台（网站、微博、抖音、公众号等），为社会公众提供网上祭扫和学习交流平台。</w:t>
            </w:r>
          </w:p>
        </w:tc>
        <w:tc>
          <w:tcPr>
            <w:tcW w:w="463" w:type="dxa"/>
            <w:shd w:val="clear" w:color="auto" w:fill="FFFFFF"/>
            <w:noWrap w:val="0"/>
            <w:tcMar>
              <w:top w:w="15" w:type="dxa"/>
              <w:left w:w="15" w:type="dxa"/>
              <w:right w:w="15" w:type="dxa"/>
            </w:tcMar>
            <w:vAlign w:val="center"/>
          </w:tcPr>
          <w:p w14:paraId="08F7645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252C075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1.每季度至少更新一次本系统官网、微信号等网络平台展示红色文化、英烈事迹等褒扬纪念内容的得2分；</w:t>
            </w:r>
          </w:p>
          <w:p w14:paraId="1F54FC2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2.建立专门宣传平台（网站、微博、抖音、公众号等），利用网络宣传烈士事迹，为社会公众提供网上祭扫和学习交流平台的得2分。</w:t>
            </w:r>
          </w:p>
        </w:tc>
        <w:tc>
          <w:tcPr>
            <w:tcW w:w="643" w:type="dxa"/>
            <w:shd w:val="clear" w:color="auto" w:fill="FFFFFF"/>
            <w:noWrap w:val="0"/>
            <w:tcMar>
              <w:top w:w="15" w:type="dxa"/>
              <w:left w:w="15" w:type="dxa"/>
              <w:right w:w="15" w:type="dxa"/>
            </w:tcMar>
            <w:vAlign w:val="center"/>
          </w:tcPr>
          <w:p w14:paraId="763BC43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584E1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10FD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37" w:hRule="atLeast"/>
          <w:jc w:val="center"/>
        </w:trPr>
        <w:tc>
          <w:tcPr>
            <w:tcW w:w="1007" w:type="dxa"/>
            <w:vMerge w:val="continue"/>
            <w:shd w:val="clear" w:color="auto" w:fill="FFFFFF"/>
            <w:noWrap w:val="0"/>
            <w:tcMar>
              <w:top w:w="15" w:type="dxa"/>
              <w:left w:w="15" w:type="dxa"/>
              <w:right w:w="15" w:type="dxa"/>
            </w:tcMar>
            <w:vAlign w:val="center"/>
          </w:tcPr>
          <w:p w14:paraId="35C5417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p>
        </w:tc>
        <w:tc>
          <w:tcPr>
            <w:tcW w:w="504" w:type="dxa"/>
            <w:shd w:val="clear" w:color="auto" w:fill="FFFFFF"/>
            <w:noWrap w:val="0"/>
            <w:tcMar>
              <w:top w:w="15" w:type="dxa"/>
              <w:left w:w="15" w:type="dxa"/>
              <w:right w:w="15" w:type="dxa"/>
            </w:tcMar>
            <w:vAlign w:val="center"/>
          </w:tcPr>
          <w:p w14:paraId="50BEF41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17</w:t>
            </w:r>
          </w:p>
        </w:tc>
        <w:tc>
          <w:tcPr>
            <w:tcW w:w="3086" w:type="dxa"/>
            <w:shd w:val="clear" w:color="auto" w:fill="FFFFFF"/>
            <w:noWrap w:val="0"/>
            <w:tcMar>
              <w:top w:w="15" w:type="dxa"/>
              <w:left w:w="15" w:type="dxa"/>
              <w:right w:w="15" w:type="dxa"/>
            </w:tcMar>
            <w:vAlign w:val="center"/>
          </w:tcPr>
          <w:p w14:paraId="2F5D6DE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讲解员熟悉馆藏内容和相关背景知识，服装统一、佩戴标志、仪表端庄、发音吐字清晰、讲解富有较强感染力。</w:t>
            </w:r>
          </w:p>
        </w:tc>
        <w:tc>
          <w:tcPr>
            <w:tcW w:w="463" w:type="dxa"/>
            <w:shd w:val="clear" w:color="auto" w:fill="FFFFFF"/>
            <w:noWrap w:val="0"/>
            <w:tcMar>
              <w:top w:w="15" w:type="dxa"/>
              <w:left w:w="15" w:type="dxa"/>
              <w:right w:w="15" w:type="dxa"/>
            </w:tcMar>
            <w:vAlign w:val="center"/>
          </w:tcPr>
          <w:p w14:paraId="348E7CD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8</w:t>
            </w:r>
          </w:p>
        </w:tc>
        <w:tc>
          <w:tcPr>
            <w:tcW w:w="3683" w:type="dxa"/>
            <w:shd w:val="clear" w:color="auto" w:fill="FFFFFF"/>
            <w:noWrap w:val="0"/>
            <w:tcMar>
              <w:top w:w="15" w:type="dxa"/>
              <w:left w:w="15" w:type="dxa"/>
              <w:right w:w="15" w:type="dxa"/>
            </w:tcMar>
            <w:vAlign w:val="center"/>
          </w:tcPr>
          <w:p w14:paraId="1E9962C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1.熟悉馆藏内容和相关背景知识的得1分；</w:t>
            </w:r>
          </w:p>
          <w:p w14:paraId="4B88B9F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2.服装统一、佩戴标志、仪表端庄的得1分；</w:t>
            </w:r>
          </w:p>
          <w:p w14:paraId="7936AB3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3.发音吐字清晰的得1分；</w:t>
            </w:r>
          </w:p>
          <w:p w14:paraId="0F3BC45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4.讲解富有较强感染力的得1分；</w:t>
            </w:r>
          </w:p>
          <w:p w14:paraId="05F7378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5.参加区级比赛获奖的得1分，参加市级比赛获奖的得2分，参加国家级比赛获奖的得3分，累计不超过4分。</w:t>
            </w:r>
          </w:p>
        </w:tc>
        <w:tc>
          <w:tcPr>
            <w:tcW w:w="643" w:type="dxa"/>
            <w:shd w:val="clear" w:color="auto" w:fill="FFFFFF"/>
            <w:noWrap w:val="0"/>
            <w:tcMar>
              <w:top w:w="15" w:type="dxa"/>
              <w:left w:w="15" w:type="dxa"/>
              <w:right w:w="15" w:type="dxa"/>
            </w:tcMar>
            <w:vAlign w:val="center"/>
          </w:tcPr>
          <w:p w14:paraId="46CCA79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799933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C1E5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35" w:hRule="atLeast"/>
          <w:jc w:val="center"/>
        </w:trPr>
        <w:tc>
          <w:tcPr>
            <w:tcW w:w="1007" w:type="dxa"/>
            <w:vMerge w:val="restart"/>
            <w:shd w:val="clear" w:color="auto" w:fill="FFFFFF"/>
            <w:noWrap w:val="0"/>
            <w:tcMar>
              <w:top w:w="15" w:type="dxa"/>
              <w:left w:w="15" w:type="dxa"/>
              <w:right w:w="15" w:type="dxa"/>
            </w:tcMar>
            <w:vAlign w:val="center"/>
          </w:tcPr>
          <w:p w14:paraId="2920338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lang w:eastAsia="zh-CN"/>
              </w:rPr>
              <w:t>四、</w:t>
            </w:r>
            <w:r>
              <w:rPr>
                <w:rFonts w:hint="default" w:ascii="Times New Roman" w:hAnsi="Times New Roman" w:eastAsia="仿宋" w:cs="Times New Roman"/>
                <w:i w:val="0"/>
                <w:caps w:val="0"/>
                <w:color w:val="000000"/>
                <w:spacing w:val="0"/>
                <w:sz w:val="21"/>
                <w:szCs w:val="21"/>
              </w:rPr>
              <w:t>园容园貌（13分）</w:t>
            </w:r>
          </w:p>
        </w:tc>
        <w:tc>
          <w:tcPr>
            <w:tcW w:w="504" w:type="dxa"/>
            <w:shd w:val="clear" w:color="auto" w:fill="FFFFFF"/>
            <w:noWrap w:val="0"/>
            <w:tcMar>
              <w:top w:w="15" w:type="dxa"/>
              <w:left w:w="15" w:type="dxa"/>
              <w:right w:w="15" w:type="dxa"/>
            </w:tcMar>
            <w:vAlign w:val="center"/>
          </w:tcPr>
          <w:p w14:paraId="3B4A27D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18</w:t>
            </w:r>
          </w:p>
        </w:tc>
        <w:tc>
          <w:tcPr>
            <w:tcW w:w="3086" w:type="dxa"/>
            <w:shd w:val="clear" w:color="auto" w:fill="FFFFFF"/>
            <w:noWrap w:val="0"/>
            <w:tcMar>
              <w:top w:w="15" w:type="dxa"/>
              <w:left w:w="15" w:type="dxa"/>
              <w:right w:w="15" w:type="dxa"/>
            </w:tcMar>
            <w:vAlign w:val="center"/>
          </w:tcPr>
          <w:p w14:paraId="715E26A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注重绿化美化环境，实现园林化。园内花木与纪念设施相协调，四季常青，按照有关规定做好园内珍贵花木的保护工作。</w:t>
            </w:r>
          </w:p>
        </w:tc>
        <w:tc>
          <w:tcPr>
            <w:tcW w:w="463" w:type="dxa"/>
            <w:shd w:val="clear" w:color="auto" w:fill="FFFFFF"/>
            <w:noWrap w:val="0"/>
            <w:tcMar>
              <w:top w:w="15" w:type="dxa"/>
              <w:left w:w="15" w:type="dxa"/>
              <w:right w:w="15" w:type="dxa"/>
            </w:tcMar>
            <w:vAlign w:val="center"/>
          </w:tcPr>
          <w:p w14:paraId="0976707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3</w:t>
            </w:r>
          </w:p>
        </w:tc>
        <w:tc>
          <w:tcPr>
            <w:tcW w:w="3683" w:type="dxa"/>
            <w:shd w:val="clear" w:color="auto" w:fill="FFFFFF"/>
            <w:noWrap w:val="0"/>
            <w:tcMar>
              <w:top w:w="15" w:type="dxa"/>
              <w:left w:w="15" w:type="dxa"/>
              <w:right w:w="15" w:type="dxa"/>
            </w:tcMar>
            <w:vAlign w:val="center"/>
          </w:tcPr>
          <w:p w14:paraId="399EDDBE">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1.园内花木与纪念设施相协调得1分；</w:t>
            </w:r>
          </w:p>
          <w:p w14:paraId="4084A59F">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2.园林绿化整齐有序得2分。</w:t>
            </w:r>
          </w:p>
        </w:tc>
        <w:tc>
          <w:tcPr>
            <w:tcW w:w="643" w:type="dxa"/>
            <w:shd w:val="clear" w:color="auto" w:fill="FFFFFF"/>
            <w:noWrap w:val="0"/>
            <w:tcMar>
              <w:top w:w="15" w:type="dxa"/>
              <w:left w:w="15" w:type="dxa"/>
              <w:right w:w="15" w:type="dxa"/>
            </w:tcMar>
            <w:vAlign w:val="center"/>
          </w:tcPr>
          <w:p w14:paraId="4AFD825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D0311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CD27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70" w:hRule="atLeast"/>
          <w:jc w:val="center"/>
        </w:trPr>
        <w:tc>
          <w:tcPr>
            <w:tcW w:w="1007" w:type="dxa"/>
            <w:vMerge w:val="continue"/>
            <w:shd w:val="clear" w:color="auto" w:fill="FFFFFF"/>
            <w:noWrap w:val="0"/>
            <w:tcMar>
              <w:top w:w="15" w:type="dxa"/>
              <w:left w:w="15" w:type="dxa"/>
              <w:right w:w="15" w:type="dxa"/>
            </w:tcMar>
            <w:vAlign w:val="center"/>
          </w:tcPr>
          <w:p w14:paraId="613273C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rPr>
                <w:rFonts w:hint="default" w:ascii="Times New Roman" w:hAnsi="Times New Roman" w:eastAsia="仿宋" w:cs="Times New Roman"/>
                <w:sz w:val="21"/>
                <w:szCs w:val="21"/>
              </w:rPr>
            </w:pPr>
          </w:p>
        </w:tc>
        <w:tc>
          <w:tcPr>
            <w:tcW w:w="504" w:type="dxa"/>
            <w:shd w:val="clear" w:color="auto" w:fill="FFFFFF"/>
            <w:noWrap w:val="0"/>
            <w:tcMar>
              <w:top w:w="15" w:type="dxa"/>
              <w:left w:w="15" w:type="dxa"/>
              <w:right w:w="15" w:type="dxa"/>
            </w:tcMar>
            <w:vAlign w:val="center"/>
          </w:tcPr>
          <w:p w14:paraId="2094153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19</w:t>
            </w:r>
          </w:p>
        </w:tc>
        <w:tc>
          <w:tcPr>
            <w:tcW w:w="3086" w:type="dxa"/>
            <w:shd w:val="clear" w:color="auto" w:fill="FFFFFF"/>
            <w:noWrap w:val="0"/>
            <w:tcMar>
              <w:top w:w="15" w:type="dxa"/>
              <w:left w:w="15" w:type="dxa"/>
              <w:right w:w="15" w:type="dxa"/>
            </w:tcMar>
            <w:vAlign w:val="center"/>
          </w:tcPr>
          <w:p w14:paraId="3CD1E1C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有专人负责公用设施、公共场所的维修保养和清扫保洁工作，确保园区环境干净整洁，供水、供电、卫生等服务设施处于良好状态。</w:t>
            </w:r>
          </w:p>
        </w:tc>
        <w:tc>
          <w:tcPr>
            <w:tcW w:w="463" w:type="dxa"/>
            <w:shd w:val="clear" w:color="auto" w:fill="FFFFFF"/>
            <w:noWrap w:val="0"/>
            <w:tcMar>
              <w:top w:w="15" w:type="dxa"/>
              <w:left w:w="15" w:type="dxa"/>
              <w:right w:w="15" w:type="dxa"/>
            </w:tcMar>
            <w:vAlign w:val="center"/>
          </w:tcPr>
          <w:p w14:paraId="5F663E5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3E8E8CA2">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1.公用设施、公共场所的维修保养和清扫保洁工作有专人负责的得2分；</w:t>
            </w:r>
          </w:p>
          <w:p w14:paraId="64005C5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2.园区环境干净整洁，供水、供电、卫生等服务设施处于良好状态的得3分。</w:t>
            </w:r>
          </w:p>
        </w:tc>
        <w:tc>
          <w:tcPr>
            <w:tcW w:w="643" w:type="dxa"/>
            <w:shd w:val="clear" w:color="auto" w:fill="FFFFFF"/>
            <w:noWrap w:val="0"/>
            <w:tcMar>
              <w:top w:w="15" w:type="dxa"/>
              <w:left w:w="15" w:type="dxa"/>
              <w:right w:w="15" w:type="dxa"/>
            </w:tcMar>
            <w:vAlign w:val="center"/>
          </w:tcPr>
          <w:p w14:paraId="0925193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82C59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6C826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60" w:hRule="atLeast"/>
          <w:jc w:val="center"/>
        </w:trPr>
        <w:tc>
          <w:tcPr>
            <w:tcW w:w="1007" w:type="dxa"/>
            <w:vMerge w:val="continue"/>
            <w:shd w:val="clear" w:color="auto" w:fill="FFFFFF"/>
            <w:noWrap w:val="0"/>
            <w:tcMar>
              <w:top w:w="15" w:type="dxa"/>
              <w:left w:w="15" w:type="dxa"/>
              <w:right w:w="15" w:type="dxa"/>
            </w:tcMar>
            <w:vAlign w:val="center"/>
          </w:tcPr>
          <w:p w14:paraId="237EE7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0715E57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20</w:t>
            </w:r>
          </w:p>
        </w:tc>
        <w:tc>
          <w:tcPr>
            <w:tcW w:w="3086" w:type="dxa"/>
            <w:shd w:val="clear" w:color="auto" w:fill="FFFFFF"/>
            <w:noWrap w:val="0"/>
            <w:tcMar>
              <w:top w:w="15" w:type="dxa"/>
              <w:left w:w="15" w:type="dxa"/>
              <w:right w:w="15" w:type="dxa"/>
            </w:tcMar>
            <w:vAlign w:val="center"/>
          </w:tcPr>
          <w:p w14:paraId="20122D8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园区规划应布局完整、合理、协调，建筑设施外观整洁，道路平坦干净。</w:t>
            </w:r>
          </w:p>
        </w:tc>
        <w:tc>
          <w:tcPr>
            <w:tcW w:w="463" w:type="dxa"/>
            <w:shd w:val="clear" w:color="auto" w:fill="FFFFFF"/>
            <w:noWrap w:val="0"/>
            <w:tcMar>
              <w:top w:w="15" w:type="dxa"/>
              <w:left w:w="15" w:type="dxa"/>
              <w:right w:w="15" w:type="dxa"/>
            </w:tcMar>
            <w:vAlign w:val="center"/>
          </w:tcPr>
          <w:p w14:paraId="18C5B5F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4</w:t>
            </w:r>
          </w:p>
        </w:tc>
        <w:tc>
          <w:tcPr>
            <w:tcW w:w="3683" w:type="dxa"/>
            <w:shd w:val="clear" w:color="auto" w:fill="FFFFFF"/>
            <w:noWrap w:val="0"/>
            <w:tcMar>
              <w:top w:w="15" w:type="dxa"/>
              <w:left w:w="15" w:type="dxa"/>
              <w:right w:w="15" w:type="dxa"/>
            </w:tcMar>
            <w:vAlign w:val="center"/>
          </w:tcPr>
          <w:p w14:paraId="68194E4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1.园区规划布局完整、合理、协调的得2分；</w:t>
            </w:r>
          </w:p>
          <w:p w14:paraId="560983D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2.建筑设施外观整洁的得1分；</w:t>
            </w:r>
          </w:p>
          <w:p w14:paraId="3558840F">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3.道路平坦干净，无大面积凹陷、开裂的得1分；</w:t>
            </w:r>
          </w:p>
        </w:tc>
        <w:tc>
          <w:tcPr>
            <w:tcW w:w="643" w:type="dxa"/>
            <w:shd w:val="clear" w:color="auto" w:fill="FFFFFF"/>
            <w:noWrap w:val="0"/>
            <w:tcMar>
              <w:top w:w="15" w:type="dxa"/>
              <w:left w:w="15" w:type="dxa"/>
              <w:right w:w="15" w:type="dxa"/>
            </w:tcMar>
            <w:vAlign w:val="center"/>
          </w:tcPr>
          <w:p w14:paraId="4F38BAF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6991E2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52A6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0" w:hRule="atLeast"/>
          <w:jc w:val="center"/>
        </w:trPr>
        <w:tc>
          <w:tcPr>
            <w:tcW w:w="1007" w:type="dxa"/>
            <w:vMerge w:val="continue"/>
            <w:shd w:val="clear" w:color="auto" w:fill="FFFFFF"/>
            <w:noWrap w:val="0"/>
            <w:tcMar>
              <w:top w:w="15" w:type="dxa"/>
              <w:left w:w="15" w:type="dxa"/>
              <w:right w:w="15" w:type="dxa"/>
            </w:tcMar>
            <w:vAlign w:val="center"/>
          </w:tcPr>
          <w:p w14:paraId="0B5542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71B2955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21</w:t>
            </w:r>
          </w:p>
        </w:tc>
        <w:tc>
          <w:tcPr>
            <w:tcW w:w="3086" w:type="dxa"/>
            <w:shd w:val="clear" w:color="auto" w:fill="FFFFFF"/>
            <w:noWrap w:val="0"/>
            <w:tcMar>
              <w:top w:w="15" w:type="dxa"/>
              <w:left w:w="15" w:type="dxa"/>
              <w:right w:w="15" w:type="dxa"/>
            </w:tcMar>
            <w:vAlign w:val="center"/>
          </w:tcPr>
          <w:p w14:paraId="2FF5BDD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创新园区管理方式，努力实现从封闭、围墙式的管理向开放、人性化的管理方式转变。</w:t>
            </w:r>
          </w:p>
        </w:tc>
        <w:tc>
          <w:tcPr>
            <w:tcW w:w="463" w:type="dxa"/>
            <w:shd w:val="clear" w:color="auto" w:fill="FFFFFF"/>
            <w:noWrap w:val="0"/>
            <w:tcMar>
              <w:top w:w="15" w:type="dxa"/>
              <w:left w:w="15" w:type="dxa"/>
              <w:right w:w="15" w:type="dxa"/>
            </w:tcMar>
            <w:vAlign w:val="center"/>
          </w:tcPr>
          <w:p w14:paraId="407BB9B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1</w:t>
            </w:r>
          </w:p>
        </w:tc>
        <w:tc>
          <w:tcPr>
            <w:tcW w:w="3683" w:type="dxa"/>
            <w:shd w:val="clear" w:color="auto" w:fill="FFFFFF"/>
            <w:noWrap w:val="0"/>
            <w:tcMar>
              <w:top w:w="15" w:type="dxa"/>
              <w:left w:w="15" w:type="dxa"/>
              <w:right w:w="15" w:type="dxa"/>
            </w:tcMar>
            <w:vAlign w:val="center"/>
          </w:tcPr>
          <w:p w14:paraId="23C18DFA">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实行开放式管理的得1分。</w:t>
            </w:r>
          </w:p>
        </w:tc>
        <w:tc>
          <w:tcPr>
            <w:tcW w:w="643" w:type="dxa"/>
            <w:shd w:val="clear" w:color="auto" w:fill="FFFFFF"/>
            <w:noWrap w:val="0"/>
            <w:tcMar>
              <w:top w:w="15" w:type="dxa"/>
              <w:left w:w="15" w:type="dxa"/>
              <w:right w:w="15" w:type="dxa"/>
            </w:tcMar>
            <w:vAlign w:val="center"/>
          </w:tcPr>
          <w:p w14:paraId="1B62BB2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92CB6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795C8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0" w:hRule="atLeast"/>
          <w:jc w:val="center"/>
        </w:trPr>
        <w:tc>
          <w:tcPr>
            <w:tcW w:w="1007" w:type="dxa"/>
            <w:vMerge w:val="restart"/>
            <w:shd w:val="clear" w:color="auto" w:fill="FFFFFF"/>
            <w:noWrap w:val="0"/>
            <w:tcMar>
              <w:top w:w="15" w:type="dxa"/>
              <w:left w:w="15" w:type="dxa"/>
              <w:right w:w="15" w:type="dxa"/>
            </w:tcMar>
            <w:vAlign w:val="center"/>
          </w:tcPr>
          <w:p w14:paraId="590AF62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五、自身建设和安全管理（18分）</w:t>
            </w:r>
          </w:p>
          <w:p w14:paraId="283D60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0D0C722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22</w:t>
            </w:r>
          </w:p>
        </w:tc>
        <w:tc>
          <w:tcPr>
            <w:tcW w:w="3086" w:type="dxa"/>
            <w:shd w:val="clear" w:color="auto" w:fill="FFFFFF"/>
            <w:noWrap w:val="0"/>
            <w:tcMar>
              <w:top w:w="15" w:type="dxa"/>
              <w:left w:w="15" w:type="dxa"/>
              <w:right w:w="15" w:type="dxa"/>
            </w:tcMar>
            <w:vAlign w:val="center"/>
          </w:tcPr>
          <w:p w14:paraId="7F3FA42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加强党风廉政建设，思想政治和意识形态工作和作风建设，工作人员爱岗敬业，杜绝违法违纪现象发生。</w:t>
            </w:r>
          </w:p>
        </w:tc>
        <w:tc>
          <w:tcPr>
            <w:tcW w:w="463" w:type="dxa"/>
            <w:shd w:val="clear" w:color="auto" w:fill="FFFFFF"/>
            <w:noWrap w:val="0"/>
            <w:tcMar>
              <w:top w:w="15" w:type="dxa"/>
              <w:left w:w="15" w:type="dxa"/>
              <w:right w:w="15" w:type="dxa"/>
            </w:tcMar>
            <w:vAlign w:val="center"/>
          </w:tcPr>
          <w:p w14:paraId="3C64406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3</w:t>
            </w:r>
          </w:p>
        </w:tc>
        <w:tc>
          <w:tcPr>
            <w:tcW w:w="3683" w:type="dxa"/>
            <w:shd w:val="clear" w:color="auto" w:fill="FFFFFF"/>
            <w:noWrap w:val="0"/>
            <w:tcMar>
              <w:top w:w="15" w:type="dxa"/>
              <w:left w:w="15" w:type="dxa"/>
              <w:right w:w="15" w:type="dxa"/>
            </w:tcMar>
            <w:vAlign w:val="center"/>
          </w:tcPr>
          <w:p w14:paraId="71172D5E">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1.无违法违纪现象发生得1分；</w:t>
            </w:r>
          </w:p>
          <w:p w14:paraId="189247EF">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2.开展思想政治和意识形态工作学习得1分；</w:t>
            </w:r>
          </w:p>
          <w:p w14:paraId="0AA9C05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3.作风建设过硬得1分。</w:t>
            </w:r>
          </w:p>
        </w:tc>
        <w:tc>
          <w:tcPr>
            <w:tcW w:w="643" w:type="dxa"/>
            <w:shd w:val="clear" w:color="auto" w:fill="FFFFFF"/>
            <w:noWrap w:val="0"/>
            <w:tcMar>
              <w:top w:w="15" w:type="dxa"/>
              <w:left w:w="15" w:type="dxa"/>
              <w:right w:w="15" w:type="dxa"/>
            </w:tcMar>
            <w:vAlign w:val="center"/>
          </w:tcPr>
          <w:p w14:paraId="0EC7D11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A27DA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60325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90" w:hRule="atLeast"/>
          <w:jc w:val="center"/>
        </w:trPr>
        <w:tc>
          <w:tcPr>
            <w:tcW w:w="1007" w:type="dxa"/>
            <w:vMerge w:val="continue"/>
            <w:shd w:val="clear" w:color="auto" w:fill="FFFFFF"/>
            <w:noWrap w:val="0"/>
            <w:tcMar>
              <w:top w:w="15" w:type="dxa"/>
              <w:left w:w="15" w:type="dxa"/>
              <w:right w:w="15" w:type="dxa"/>
            </w:tcMar>
            <w:vAlign w:val="center"/>
          </w:tcPr>
          <w:p w14:paraId="58EEE2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2F9AB48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23</w:t>
            </w:r>
          </w:p>
        </w:tc>
        <w:tc>
          <w:tcPr>
            <w:tcW w:w="3086" w:type="dxa"/>
            <w:shd w:val="clear" w:color="auto" w:fill="FFFFFF"/>
            <w:noWrap w:val="0"/>
            <w:tcMar>
              <w:top w:w="15" w:type="dxa"/>
              <w:left w:w="15" w:type="dxa"/>
              <w:right w:w="15" w:type="dxa"/>
            </w:tcMar>
            <w:vAlign w:val="center"/>
          </w:tcPr>
          <w:p w14:paraId="239CB41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注重改进服务管理质量，通过设立意见箱、留言簿、回访烈属和社会公众、走访开展纪念活动的单位等形式，取得服务质量、内容、方式、需求等多角度的信息反馈。在园区醒目位置明示服务承诺，自觉接受监督，及时处理服务对象和社会公众的投诉、意见和建议，制定改进方案。</w:t>
            </w:r>
          </w:p>
        </w:tc>
        <w:tc>
          <w:tcPr>
            <w:tcW w:w="463" w:type="dxa"/>
            <w:shd w:val="clear" w:color="auto" w:fill="FFFFFF"/>
            <w:noWrap w:val="0"/>
            <w:tcMar>
              <w:top w:w="15" w:type="dxa"/>
              <w:left w:w="15" w:type="dxa"/>
              <w:right w:w="15" w:type="dxa"/>
            </w:tcMar>
            <w:vAlign w:val="center"/>
          </w:tcPr>
          <w:p w14:paraId="7B9C0FB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54678710">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1.服务管理绩效评估工作制度健全，绩效责任、工作目标及保障措施明确的得3分；</w:t>
            </w:r>
          </w:p>
          <w:p w14:paraId="46FFAD6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2.采取多种方式收集改进服务质量等意见建议，制定落实改进方案的得1分；</w:t>
            </w:r>
          </w:p>
          <w:p w14:paraId="1B9660A3">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3.园区醒目位置明示服务承诺，自觉接受服务对象监督的得1分。</w:t>
            </w:r>
          </w:p>
        </w:tc>
        <w:tc>
          <w:tcPr>
            <w:tcW w:w="643" w:type="dxa"/>
            <w:shd w:val="clear" w:color="auto" w:fill="FFFFFF"/>
            <w:noWrap w:val="0"/>
            <w:tcMar>
              <w:top w:w="15" w:type="dxa"/>
              <w:left w:w="15" w:type="dxa"/>
              <w:right w:w="15" w:type="dxa"/>
            </w:tcMar>
            <w:vAlign w:val="center"/>
          </w:tcPr>
          <w:p w14:paraId="41133B6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4BE0E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6A80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90" w:hRule="atLeast"/>
          <w:jc w:val="center"/>
        </w:trPr>
        <w:tc>
          <w:tcPr>
            <w:tcW w:w="1007" w:type="dxa"/>
            <w:vMerge w:val="continue"/>
            <w:shd w:val="clear" w:color="auto" w:fill="FFFFFF"/>
            <w:noWrap w:val="0"/>
            <w:tcMar>
              <w:top w:w="15" w:type="dxa"/>
              <w:left w:w="15" w:type="dxa"/>
              <w:right w:w="15" w:type="dxa"/>
            </w:tcMar>
            <w:vAlign w:val="center"/>
          </w:tcPr>
          <w:p w14:paraId="23A8A5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7577362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24</w:t>
            </w:r>
          </w:p>
        </w:tc>
        <w:tc>
          <w:tcPr>
            <w:tcW w:w="3086" w:type="dxa"/>
            <w:shd w:val="clear" w:color="auto" w:fill="FFFFFF"/>
            <w:noWrap w:val="0"/>
            <w:tcMar>
              <w:top w:w="15" w:type="dxa"/>
              <w:left w:w="15" w:type="dxa"/>
              <w:right w:w="15" w:type="dxa"/>
            </w:tcMar>
            <w:vAlign w:val="center"/>
          </w:tcPr>
          <w:p w14:paraId="360D899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坚持把安全工作纳入日常服务管理和专项纪念活动中，做到有机构、有制度、有预案、有演练。岗位人员安全意识强，熟悉安全要求，熟练掌握应急处理的程序，定期进行安全检查，及时消除安全隐患，杜绝安全责任事故发生。</w:t>
            </w:r>
          </w:p>
        </w:tc>
        <w:tc>
          <w:tcPr>
            <w:tcW w:w="463" w:type="dxa"/>
            <w:shd w:val="clear" w:color="auto" w:fill="FFFFFF"/>
            <w:noWrap w:val="0"/>
            <w:tcMar>
              <w:top w:w="15" w:type="dxa"/>
              <w:left w:w="15" w:type="dxa"/>
              <w:right w:w="15" w:type="dxa"/>
            </w:tcMar>
            <w:vAlign w:val="center"/>
          </w:tcPr>
          <w:p w14:paraId="71BF47C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i w:val="0"/>
                <w:caps w:val="0"/>
                <w:color w:val="000000"/>
                <w:spacing w:val="0"/>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60AB833A">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1.安全管理机构健全的得1分；</w:t>
            </w:r>
          </w:p>
          <w:p w14:paraId="086262D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2.有各类灾情、突发事件处置预案的得1分；</w:t>
            </w:r>
          </w:p>
          <w:p w14:paraId="1BC5634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3.岗位人员熟知安全职责，熟悉安全要求，熟练掌握应急处理程序的得1分；</w:t>
            </w:r>
          </w:p>
          <w:p w14:paraId="1E45B437">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4.按规定定期进行安全检查的得1分；</w:t>
            </w:r>
          </w:p>
          <w:p w14:paraId="25F22DA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5.每年至少进行一次安全演练的得1分。</w:t>
            </w:r>
          </w:p>
        </w:tc>
        <w:tc>
          <w:tcPr>
            <w:tcW w:w="643" w:type="dxa"/>
            <w:shd w:val="clear" w:color="auto" w:fill="FFFFFF"/>
            <w:noWrap w:val="0"/>
            <w:tcMar>
              <w:top w:w="15" w:type="dxa"/>
              <w:left w:w="15" w:type="dxa"/>
              <w:right w:w="15" w:type="dxa"/>
            </w:tcMar>
            <w:vAlign w:val="center"/>
          </w:tcPr>
          <w:p w14:paraId="59A2BC5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778924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60B03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30" w:hRule="atLeast"/>
          <w:jc w:val="center"/>
        </w:trPr>
        <w:tc>
          <w:tcPr>
            <w:tcW w:w="1007" w:type="dxa"/>
            <w:vMerge w:val="continue"/>
            <w:shd w:val="clear" w:color="auto" w:fill="FFFFFF"/>
            <w:noWrap w:val="0"/>
            <w:tcMar>
              <w:top w:w="15" w:type="dxa"/>
              <w:left w:w="15" w:type="dxa"/>
              <w:right w:w="15" w:type="dxa"/>
            </w:tcMar>
            <w:vAlign w:val="center"/>
          </w:tcPr>
          <w:p w14:paraId="2AB8EB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100D427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25</w:t>
            </w:r>
          </w:p>
        </w:tc>
        <w:tc>
          <w:tcPr>
            <w:tcW w:w="3086" w:type="dxa"/>
            <w:shd w:val="clear" w:color="auto" w:fill="FFFFFF"/>
            <w:noWrap w:val="0"/>
            <w:tcMar>
              <w:top w:w="15" w:type="dxa"/>
              <w:left w:w="15" w:type="dxa"/>
              <w:right w:w="15" w:type="dxa"/>
            </w:tcMar>
            <w:vAlign w:val="center"/>
          </w:tcPr>
          <w:p w14:paraId="4B01D28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水、电、气以及易燃易爆品管理符合行业规范，按照有关规定配备防火、防盗、防自燃损坏的设施，落实设施器械安全管理责任，确保馆藏文物、烈士遗物、纪念设施安全。合理、醒目设置安全标识，做到疏散通道和安全出口畅通。</w:t>
            </w:r>
          </w:p>
        </w:tc>
        <w:tc>
          <w:tcPr>
            <w:tcW w:w="463" w:type="dxa"/>
            <w:shd w:val="clear" w:color="auto" w:fill="FFFFFF"/>
            <w:noWrap w:val="0"/>
            <w:tcMar>
              <w:top w:w="15" w:type="dxa"/>
              <w:left w:w="15" w:type="dxa"/>
              <w:right w:w="15" w:type="dxa"/>
            </w:tcMar>
            <w:vAlign w:val="center"/>
          </w:tcPr>
          <w:p w14:paraId="0E70439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5</w:t>
            </w:r>
          </w:p>
        </w:tc>
        <w:tc>
          <w:tcPr>
            <w:tcW w:w="3683" w:type="dxa"/>
            <w:shd w:val="clear" w:color="auto" w:fill="FFFFFF"/>
            <w:noWrap w:val="0"/>
            <w:tcMar>
              <w:top w:w="15" w:type="dxa"/>
              <w:left w:w="15" w:type="dxa"/>
              <w:right w:w="15" w:type="dxa"/>
            </w:tcMar>
            <w:vAlign w:val="center"/>
          </w:tcPr>
          <w:p w14:paraId="1AF6D67B">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1.水、电、气以及易燃易爆品管理符合行业规范的得1分；</w:t>
            </w:r>
          </w:p>
          <w:p w14:paraId="10785394">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2.按规定配备防火、防盗、防自燃损坏设施得1分；</w:t>
            </w:r>
          </w:p>
          <w:p w14:paraId="05AD4D0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3.设施器械安全管理责任落实严格的得1分；</w:t>
            </w:r>
          </w:p>
          <w:p w14:paraId="2C31CD4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4.重要纪念建筑物和场所配备安全监控设备的得1分；</w:t>
            </w:r>
          </w:p>
          <w:p w14:paraId="2500CDE6">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5.安全标识设置合理、醒目，疏散通道和安全出口畅通的得1分。</w:t>
            </w:r>
          </w:p>
        </w:tc>
        <w:tc>
          <w:tcPr>
            <w:tcW w:w="643" w:type="dxa"/>
            <w:shd w:val="clear" w:color="auto" w:fill="FFFFFF"/>
            <w:noWrap w:val="0"/>
            <w:tcMar>
              <w:top w:w="15" w:type="dxa"/>
              <w:left w:w="15" w:type="dxa"/>
              <w:right w:w="15" w:type="dxa"/>
            </w:tcMar>
            <w:vAlign w:val="center"/>
          </w:tcPr>
          <w:p w14:paraId="7BCC86F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311F0C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4A59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80" w:hRule="atLeast"/>
          <w:jc w:val="center"/>
        </w:trPr>
        <w:tc>
          <w:tcPr>
            <w:tcW w:w="1007" w:type="dxa"/>
            <w:vMerge w:val="restart"/>
            <w:shd w:val="clear" w:color="auto" w:fill="FFFFFF"/>
            <w:noWrap w:val="0"/>
            <w:tcMar>
              <w:top w:w="15" w:type="dxa"/>
              <w:left w:w="15" w:type="dxa"/>
              <w:right w:w="15" w:type="dxa"/>
            </w:tcMar>
            <w:vAlign w:val="center"/>
          </w:tcPr>
          <w:p w14:paraId="4ED64AB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六、加分项目（</w:t>
            </w:r>
            <w:r>
              <w:rPr>
                <w:rFonts w:hint="default" w:ascii="Times New Roman" w:hAnsi="Times New Roman" w:eastAsia="仿宋" w:cs="Times New Roman"/>
                <w:i w:val="0"/>
                <w:caps w:val="0"/>
                <w:color w:val="000000"/>
                <w:spacing w:val="0"/>
                <w:sz w:val="21"/>
                <w:szCs w:val="21"/>
                <w:lang w:val="en-US" w:eastAsia="zh-CN"/>
              </w:rPr>
              <w:t>1</w:t>
            </w:r>
            <w:r>
              <w:rPr>
                <w:rFonts w:hint="default" w:ascii="Times New Roman" w:hAnsi="Times New Roman" w:eastAsia="仿宋" w:cs="Times New Roman"/>
                <w:i w:val="0"/>
                <w:caps w:val="0"/>
                <w:color w:val="000000"/>
                <w:spacing w:val="0"/>
                <w:sz w:val="21"/>
                <w:szCs w:val="21"/>
              </w:rPr>
              <w:t>0分）</w:t>
            </w:r>
          </w:p>
        </w:tc>
        <w:tc>
          <w:tcPr>
            <w:tcW w:w="504" w:type="dxa"/>
            <w:shd w:val="clear" w:color="auto" w:fill="FFFFFF"/>
            <w:noWrap w:val="0"/>
            <w:tcMar>
              <w:top w:w="15" w:type="dxa"/>
              <w:left w:w="15" w:type="dxa"/>
              <w:right w:w="15" w:type="dxa"/>
            </w:tcMar>
            <w:vAlign w:val="center"/>
          </w:tcPr>
          <w:p w14:paraId="2A00986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rPr>
              <w:t>2</w:t>
            </w:r>
            <w:r>
              <w:rPr>
                <w:rFonts w:hint="default" w:ascii="Times New Roman" w:hAnsi="Times New Roman" w:eastAsia="仿宋" w:cs="Times New Roman"/>
                <w:i w:val="0"/>
                <w:caps w:val="0"/>
                <w:color w:val="000000"/>
                <w:spacing w:val="0"/>
                <w:sz w:val="21"/>
                <w:szCs w:val="21"/>
                <w:lang w:val="en-US" w:eastAsia="zh-CN"/>
              </w:rPr>
              <w:t>6</w:t>
            </w:r>
          </w:p>
        </w:tc>
        <w:tc>
          <w:tcPr>
            <w:tcW w:w="3086" w:type="dxa"/>
            <w:shd w:val="clear" w:color="auto" w:fill="FFFFFF"/>
            <w:noWrap w:val="0"/>
            <w:tcMar>
              <w:top w:w="15" w:type="dxa"/>
              <w:left w:w="15" w:type="dxa"/>
              <w:right w:w="15" w:type="dxa"/>
            </w:tcMar>
            <w:vAlign w:val="center"/>
          </w:tcPr>
          <w:p w14:paraId="37EE5A4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烈士纪念馆（堂）内展陈要布局合理、主题鲜明、史料翔实，形式和内容统一，运用现代信息技术手段，不断完善和提高布展水平。做好烈士遗物、实物史料的收集、鉴定工作，设立专柜陈列展示馆藏文物和烈士遗物。</w:t>
            </w:r>
          </w:p>
        </w:tc>
        <w:tc>
          <w:tcPr>
            <w:tcW w:w="463" w:type="dxa"/>
            <w:shd w:val="clear" w:color="auto" w:fill="FFFFFF"/>
            <w:noWrap w:val="0"/>
            <w:tcMar>
              <w:top w:w="15" w:type="dxa"/>
              <w:left w:w="15" w:type="dxa"/>
              <w:right w:w="15" w:type="dxa"/>
            </w:tcMar>
            <w:vAlign w:val="center"/>
          </w:tcPr>
          <w:p w14:paraId="50F02D0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lang w:val="en-US" w:eastAsia="zh-CN"/>
              </w:rPr>
              <w:t>2</w:t>
            </w:r>
          </w:p>
        </w:tc>
        <w:tc>
          <w:tcPr>
            <w:tcW w:w="3683" w:type="dxa"/>
            <w:shd w:val="clear" w:color="auto" w:fill="FFFFFF"/>
            <w:noWrap w:val="0"/>
            <w:tcMar>
              <w:top w:w="15" w:type="dxa"/>
              <w:left w:w="15" w:type="dxa"/>
              <w:right w:w="15" w:type="dxa"/>
            </w:tcMar>
            <w:vAlign w:val="center"/>
          </w:tcPr>
          <w:p w14:paraId="12B36083">
            <w:pPr>
              <w:rPr>
                <w:rFonts w:hint="default" w:ascii="Times New Roman" w:hAnsi="Times New Roman" w:eastAsia="仿宋" w:cs="Times New Roman"/>
                <w:i w:val="0"/>
                <w:caps w:val="0"/>
                <w:color w:val="000000"/>
                <w:spacing w:val="0"/>
                <w:kern w:val="0"/>
                <w:sz w:val="21"/>
                <w:szCs w:val="21"/>
                <w:lang w:val="en-US" w:eastAsia="zh-CN" w:bidi="ar-SA"/>
              </w:rPr>
            </w:pPr>
          </w:p>
          <w:p w14:paraId="294EF48A">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1.布展主题鲜明、脉络清晰的得0.5分；</w:t>
            </w:r>
          </w:p>
          <w:p w14:paraId="15117C51">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2.文物史料翔实的得0.5分；</w:t>
            </w:r>
          </w:p>
          <w:p w14:paraId="4E4B65BD">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3.纪念馆运用现代信息技术手段布展的得0.5分；</w:t>
            </w:r>
          </w:p>
          <w:p w14:paraId="74BC1EFE">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4.设立专柜陈列展示馆藏文物和烈士遗物的得0.5分。</w:t>
            </w:r>
          </w:p>
        </w:tc>
        <w:tc>
          <w:tcPr>
            <w:tcW w:w="643" w:type="dxa"/>
            <w:shd w:val="clear" w:color="auto" w:fill="FFFFFF"/>
            <w:noWrap w:val="0"/>
            <w:tcMar>
              <w:top w:w="15" w:type="dxa"/>
              <w:left w:w="15" w:type="dxa"/>
              <w:right w:w="15" w:type="dxa"/>
            </w:tcMar>
            <w:vAlign w:val="center"/>
          </w:tcPr>
          <w:p w14:paraId="2C080E1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13A68C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1E1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90" w:hRule="atLeast"/>
          <w:jc w:val="center"/>
        </w:trPr>
        <w:tc>
          <w:tcPr>
            <w:tcW w:w="1007" w:type="dxa"/>
            <w:vMerge w:val="continue"/>
            <w:shd w:val="clear" w:color="auto" w:fill="FFFFFF"/>
            <w:noWrap w:val="0"/>
            <w:tcMar>
              <w:top w:w="15" w:type="dxa"/>
              <w:left w:w="15" w:type="dxa"/>
              <w:right w:w="15" w:type="dxa"/>
            </w:tcMar>
            <w:vAlign w:val="center"/>
          </w:tcPr>
          <w:p w14:paraId="7DA018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350D39F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rPr>
              <w:t>2</w:t>
            </w:r>
            <w:r>
              <w:rPr>
                <w:rFonts w:hint="default" w:ascii="Times New Roman" w:hAnsi="Times New Roman" w:eastAsia="仿宋" w:cs="Times New Roman"/>
                <w:i w:val="0"/>
                <w:caps w:val="0"/>
                <w:color w:val="000000"/>
                <w:spacing w:val="0"/>
                <w:sz w:val="21"/>
                <w:szCs w:val="21"/>
                <w:lang w:val="en-US" w:eastAsia="zh-CN"/>
              </w:rPr>
              <w:t>7</w:t>
            </w:r>
          </w:p>
        </w:tc>
        <w:tc>
          <w:tcPr>
            <w:tcW w:w="3086" w:type="dxa"/>
            <w:shd w:val="clear" w:color="auto" w:fill="FFFFFF"/>
            <w:noWrap w:val="0"/>
            <w:tcMar>
              <w:top w:w="15" w:type="dxa"/>
              <w:left w:w="15" w:type="dxa"/>
              <w:right w:w="15" w:type="dxa"/>
            </w:tcMar>
            <w:vAlign w:val="center"/>
          </w:tcPr>
          <w:p w14:paraId="387509E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注重做好烈士遗物、实物史料的收集、鉴定工作，设立专柜陈列展示馆藏文物和烈士遗物，充分发挥教育功能。对可移动文物要设立专门文物库房，分级建档，妥善保管，做到无丢失、无虫害、无霉变、无锈蚀。</w:t>
            </w:r>
          </w:p>
        </w:tc>
        <w:tc>
          <w:tcPr>
            <w:tcW w:w="463" w:type="dxa"/>
            <w:shd w:val="clear" w:color="auto" w:fill="FFFFFF"/>
            <w:noWrap w:val="0"/>
            <w:tcMar>
              <w:top w:w="15" w:type="dxa"/>
              <w:left w:w="15" w:type="dxa"/>
              <w:right w:w="15" w:type="dxa"/>
            </w:tcMar>
            <w:vAlign w:val="center"/>
          </w:tcPr>
          <w:p w14:paraId="321AC53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lang w:val="en-US" w:eastAsia="zh-CN"/>
              </w:rPr>
              <w:t>1</w:t>
            </w:r>
          </w:p>
        </w:tc>
        <w:tc>
          <w:tcPr>
            <w:tcW w:w="3683" w:type="dxa"/>
            <w:shd w:val="clear" w:color="auto" w:fill="FFFFFF"/>
            <w:noWrap w:val="0"/>
            <w:tcMar>
              <w:top w:w="15" w:type="dxa"/>
              <w:left w:w="15" w:type="dxa"/>
              <w:right w:w="15" w:type="dxa"/>
            </w:tcMar>
            <w:vAlign w:val="center"/>
          </w:tcPr>
          <w:p w14:paraId="7675D2E7">
            <w:pPr>
              <w:rPr>
                <w:rFonts w:hint="default" w:ascii="Times New Roman" w:hAnsi="Times New Roman" w:eastAsia="仿宋" w:cs="Times New Roman"/>
                <w:i w:val="0"/>
                <w:caps w:val="0"/>
                <w:color w:val="000000"/>
                <w:spacing w:val="0"/>
                <w:kern w:val="0"/>
                <w:sz w:val="21"/>
                <w:szCs w:val="21"/>
                <w:lang w:val="en-US" w:eastAsia="zh-CN" w:bidi="ar-SA"/>
              </w:rPr>
            </w:pPr>
          </w:p>
          <w:p w14:paraId="0AE5C625">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1.设立专柜陈列展示馆藏文物和烈士遗物的得0.5分；</w:t>
            </w:r>
          </w:p>
          <w:p w14:paraId="1759D9AD">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2.对文物分级建档，妥善保管的得0.5分。</w:t>
            </w:r>
          </w:p>
        </w:tc>
        <w:tc>
          <w:tcPr>
            <w:tcW w:w="643" w:type="dxa"/>
            <w:shd w:val="clear" w:color="auto" w:fill="FFFFFF"/>
            <w:noWrap w:val="0"/>
            <w:tcMar>
              <w:top w:w="15" w:type="dxa"/>
              <w:left w:w="15" w:type="dxa"/>
              <w:right w:w="15" w:type="dxa"/>
            </w:tcMar>
            <w:vAlign w:val="center"/>
          </w:tcPr>
          <w:p w14:paraId="7710A02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53C98D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214E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20" w:hRule="atLeast"/>
          <w:jc w:val="center"/>
        </w:trPr>
        <w:tc>
          <w:tcPr>
            <w:tcW w:w="1007" w:type="dxa"/>
            <w:vMerge w:val="continue"/>
            <w:shd w:val="clear" w:color="auto" w:fill="FFFFFF"/>
            <w:noWrap w:val="0"/>
            <w:tcMar>
              <w:top w:w="15" w:type="dxa"/>
              <w:left w:w="15" w:type="dxa"/>
              <w:right w:w="15" w:type="dxa"/>
            </w:tcMar>
            <w:vAlign w:val="center"/>
          </w:tcPr>
          <w:p w14:paraId="0448D98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04" w:type="dxa"/>
            <w:shd w:val="clear" w:color="auto" w:fill="FFFFFF"/>
            <w:noWrap w:val="0"/>
            <w:tcMar>
              <w:top w:w="15" w:type="dxa"/>
              <w:left w:w="15" w:type="dxa"/>
              <w:right w:w="15" w:type="dxa"/>
            </w:tcMar>
            <w:vAlign w:val="center"/>
          </w:tcPr>
          <w:p w14:paraId="3149672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rPr>
              <w:t>2</w:t>
            </w:r>
            <w:r>
              <w:rPr>
                <w:rFonts w:hint="default" w:ascii="Times New Roman" w:hAnsi="Times New Roman" w:eastAsia="仿宋" w:cs="Times New Roman"/>
                <w:i w:val="0"/>
                <w:caps w:val="0"/>
                <w:color w:val="000000"/>
                <w:spacing w:val="0"/>
                <w:sz w:val="21"/>
                <w:szCs w:val="21"/>
                <w:lang w:val="en-US" w:eastAsia="zh-CN"/>
              </w:rPr>
              <w:t>8</w:t>
            </w:r>
          </w:p>
        </w:tc>
        <w:tc>
          <w:tcPr>
            <w:tcW w:w="3086" w:type="dxa"/>
            <w:shd w:val="clear" w:color="auto" w:fill="FFFFFF"/>
            <w:noWrap w:val="0"/>
            <w:tcMar>
              <w:top w:w="15" w:type="dxa"/>
              <w:left w:w="15" w:type="dxa"/>
              <w:right w:w="15" w:type="dxa"/>
            </w:tcMar>
            <w:vAlign w:val="center"/>
          </w:tcPr>
          <w:p w14:paraId="0E50B46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与宣传、党史、地方志、文物、军史等部门或研究机构建立工作协调机制，共同开展烈士事迹学习宣传、史料研究编撰、文物收集鉴定等工作。</w:t>
            </w:r>
          </w:p>
        </w:tc>
        <w:tc>
          <w:tcPr>
            <w:tcW w:w="463" w:type="dxa"/>
            <w:shd w:val="clear" w:color="auto" w:fill="FFFFFF"/>
            <w:noWrap w:val="0"/>
            <w:tcMar>
              <w:top w:w="15" w:type="dxa"/>
              <w:left w:w="15" w:type="dxa"/>
              <w:right w:w="15" w:type="dxa"/>
            </w:tcMar>
            <w:vAlign w:val="center"/>
          </w:tcPr>
          <w:p w14:paraId="010BE0E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lang w:val="en-US" w:eastAsia="zh-CN"/>
              </w:rPr>
              <w:t>4</w:t>
            </w:r>
          </w:p>
        </w:tc>
        <w:tc>
          <w:tcPr>
            <w:tcW w:w="3683" w:type="dxa"/>
            <w:shd w:val="clear" w:color="auto" w:fill="FFFFFF"/>
            <w:noWrap w:val="0"/>
            <w:tcMar>
              <w:top w:w="15" w:type="dxa"/>
              <w:left w:w="15" w:type="dxa"/>
              <w:right w:w="15" w:type="dxa"/>
            </w:tcMar>
            <w:vAlign w:val="center"/>
          </w:tcPr>
          <w:p w14:paraId="37EA9D37">
            <w:pPr>
              <w:rPr>
                <w:rFonts w:hint="default" w:ascii="Times New Roman" w:hAnsi="Times New Roman" w:eastAsia="仿宋" w:cs="Times New Roman"/>
                <w:i w:val="0"/>
                <w:caps w:val="0"/>
                <w:color w:val="000000"/>
                <w:spacing w:val="0"/>
                <w:kern w:val="0"/>
                <w:sz w:val="21"/>
                <w:szCs w:val="21"/>
                <w:lang w:val="en-US" w:eastAsia="zh-CN" w:bidi="ar-SA"/>
              </w:rPr>
            </w:pPr>
          </w:p>
          <w:p w14:paraId="717E3257">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在烈士事迹宣传、史料研究编撰、文物收集鉴定等方面取得显著成效，在市级刊物或媒体每发表1篇研究文章得1分，在国家级刊物或媒体每发表1篇研究文章得2分。累计不超过4分。</w:t>
            </w:r>
          </w:p>
        </w:tc>
        <w:tc>
          <w:tcPr>
            <w:tcW w:w="643" w:type="dxa"/>
            <w:shd w:val="clear" w:color="auto" w:fill="FFFFFF"/>
            <w:noWrap w:val="0"/>
            <w:tcMar>
              <w:top w:w="15" w:type="dxa"/>
              <w:left w:w="15" w:type="dxa"/>
              <w:right w:w="15" w:type="dxa"/>
            </w:tcMar>
            <w:vAlign w:val="center"/>
          </w:tcPr>
          <w:p w14:paraId="70DC721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1BBF1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1110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74" w:hRule="atLeast"/>
          <w:jc w:val="center"/>
        </w:trPr>
        <w:tc>
          <w:tcPr>
            <w:tcW w:w="1007" w:type="dxa"/>
            <w:vMerge w:val="continue"/>
            <w:shd w:val="clear" w:color="auto" w:fill="FFFFFF"/>
            <w:noWrap w:val="0"/>
            <w:tcMar>
              <w:top w:w="15" w:type="dxa"/>
              <w:left w:w="15" w:type="dxa"/>
              <w:right w:w="15" w:type="dxa"/>
            </w:tcMar>
            <w:vAlign w:val="center"/>
          </w:tcPr>
          <w:p w14:paraId="498F17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rPr>
                <w:rFonts w:hint="default" w:ascii="Times New Roman" w:hAnsi="Times New Roman" w:eastAsia="仿宋" w:cs="Times New Roman"/>
                <w:i w:val="0"/>
                <w:caps w:val="0"/>
                <w:color w:val="424242"/>
                <w:spacing w:val="0"/>
                <w:sz w:val="21"/>
                <w:szCs w:val="21"/>
              </w:rPr>
            </w:pPr>
          </w:p>
        </w:tc>
        <w:tc>
          <w:tcPr>
            <w:tcW w:w="504" w:type="dxa"/>
            <w:shd w:val="clear" w:color="auto" w:fill="FFFFFF"/>
            <w:noWrap w:val="0"/>
            <w:tcMar>
              <w:top w:w="15" w:type="dxa"/>
              <w:left w:w="15" w:type="dxa"/>
              <w:right w:w="15" w:type="dxa"/>
            </w:tcMar>
            <w:vAlign w:val="center"/>
          </w:tcPr>
          <w:p w14:paraId="26D21A3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i w:val="0"/>
                <w:caps w:val="0"/>
                <w:color w:val="000000"/>
                <w:spacing w:val="0"/>
                <w:sz w:val="21"/>
                <w:szCs w:val="21"/>
                <w:lang w:val="en-US" w:eastAsia="zh-CN"/>
              </w:rPr>
              <w:t>29</w:t>
            </w:r>
          </w:p>
        </w:tc>
        <w:tc>
          <w:tcPr>
            <w:tcW w:w="3086" w:type="dxa"/>
            <w:shd w:val="clear" w:color="auto" w:fill="FFFFFF"/>
            <w:noWrap w:val="0"/>
            <w:tcMar>
              <w:top w:w="15" w:type="dxa"/>
              <w:left w:w="15" w:type="dxa"/>
              <w:right w:w="15" w:type="dxa"/>
            </w:tcMar>
            <w:vAlign w:val="center"/>
          </w:tcPr>
          <w:p w14:paraId="12C28C3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积极创新管理和宣传方式，充分发挥烈士纪念设施的激励和教育功能。</w:t>
            </w:r>
          </w:p>
        </w:tc>
        <w:tc>
          <w:tcPr>
            <w:tcW w:w="463" w:type="dxa"/>
            <w:shd w:val="clear" w:color="auto" w:fill="FFFFFF"/>
            <w:noWrap w:val="0"/>
            <w:tcMar>
              <w:top w:w="15" w:type="dxa"/>
              <w:left w:w="15" w:type="dxa"/>
              <w:right w:w="15" w:type="dxa"/>
            </w:tcMar>
            <w:vAlign w:val="center"/>
          </w:tcPr>
          <w:p w14:paraId="6518897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center"/>
              <w:textAlignment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i w:val="0"/>
                <w:caps w:val="0"/>
                <w:color w:val="000000"/>
                <w:spacing w:val="0"/>
                <w:sz w:val="21"/>
                <w:szCs w:val="21"/>
              </w:rPr>
              <w:t>3</w:t>
            </w:r>
          </w:p>
        </w:tc>
        <w:tc>
          <w:tcPr>
            <w:tcW w:w="3683" w:type="dxa"/>
            <w:shd w:val="clear" w:color="auto" w:fill="FFFFFF"/>
            <w:noWrap w:val="0"/>
            <w:tcMar>
              <w:top w:w="15" w:type="dxa"/>
              <w:left w:w="15" w:type="dxa"/>
              <w:right w:w="15" w:type="dxa"/>
            </w:tcMar>
            <w:vAlign w:val="center"/>
          </w:tcPr>
          <w:p w14:paraId="26ADC229">
            <w:pPr>
              <w:rPr>
                <w:rFonts w:hint="default" w:ascii="Times New Roman" w:hAnsi="Times New Roman" w:eastAsia="仿宋" w:cs="Times New Roman"/>
                <w:i w:val="0"/>
                <w:caps w:val="0"/>
                <w:color w:val="000000"/>
                <w:spacing w:val="0"/>
                <w:kern w:val="0"/>
                <w:sz w:val="21"/>
                <w:szCs w:val="21"/>
                <w:lang w:val="en-US" w:eastAsia="zh-CN" w:bidi="ar-SA"/>
              </w:rPr>
            </w:pPr>
            <w:r>
              <w:rPr>
                <w:rFonts w:hint="default" w:ascii="Times New Roman" w:hAnsi="Times New Roman" w:eastAsia="仿宋" w:cs="Times New Roman"/>
                <w:i w:val="0"/>
                <w:caps w:val="0"/>
                <w:color w:val="000000"/>
                <w:spacing w:val="0"/>
                <w:kern w:val="0"/>
                <w:sz w:val="21"/>
                <w:szCs w:val="21"/>
                <w:lang w:val="en-US" w:eastAsia="zh-CN" w:bidi="ar-SA"/>
              </w:rPr>
              <w:t>在烈士纪念设施管理保护、宣传英烈事迹、弘扬英烈精神等方面有重大创新举措，在全市被推广的一次加1分，累计不超过3分。</w:t>
            </w:r>
          </w:p>
        </w:tc>
        <w:tc>
          <w:tcPr>
            <w:tcW w:w="643" w:type="dxa"/>
            <w:shd w:val="clear" w:color="auto" w:fill="FFFFFF"/>
            <w:noWrap w:val="0"/>
            <w:tcMar>
              <w:top w:w="15" w:type="dxa"/>
              <w:left w:w="15" w:type="dxa"/>
              <w:right w:w="15" w:type="dxa"/>
            </w:tcMar>
            <w:vAlign w:val="center"/>
          </w:tcPr>
          <w:p w14:paraId="06E34C0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p>
        </w:tc>
        <w:tc>
          <w:tcPr>
            <w:tcW w:w="568" w:type="dxa"/>
            <w:shd w:val="clear" w:color="auto" w:fill="FFFFFF"/>
            <w:noWrap w:val="0"/>
            <w:tcMar>
              <w:top w:w="15" w:type="dxa"/>
              <w:left w:w="15" w:type="dxa"/>
              <w:right w:w="15" w:type="dxa"/>
            </w:tcMar>
            <w:vAlign w:val="center"/>
          </w:tcPr>
          <w:p w14:paraId="133D61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 w:cs="Times New Roman"/>
                <w:i w:val="0"/>
                <w:caps w:val="0"/>
                <w:color w:val="424242"/>
                <w:spacing w:val="0"/>
                <w:sz w:val="21"/>
                <w:szCs w:val="21"/>
              </w:rPr>
            </w:pPr>
          </w:p>
        </w:tc>
      </w:tr>
      <w:tr w14:paraId="75A06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5" w:hRule="atLeast"/>
          <w:jc w:val="center"/>
        </w:trPr>
        <w:tc>
          <w:tcPr>
            <w:tcW w:w="9954" w:type="dxa"/>
            <w:gridSpan w:val="7"/>
            <w:shd w:val="clear" w:color="auto" w:fill="FFFFFF"/>
            <w:noWrap w:val="0"/>
            <w:tcMar>
              <w:top w:w="15" w:type="dxa"/>
              <w:left w:w="15" w:type="dxa"/>
              <w:right w:w="15" w:type="dxa"/>
            </w:tcMar>
            <w:vAlign w:val="center"/>
          </w:tcPr>
          <w:p w14:paraId="7C6276F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exact"/>
              <w:ind w:left="0" w:right="0"/>
              <w:jc w:val="left"/>
              <w:textAlignment w:val="center"/>
              <w:rPr>
                <w:rFonts w:hint="default" w:ascii="Times New Roman" w:hAnsi="Times New Roman" w:eastAsia="仿宋" w:cs="Times New Roman"/>
                <w:sz w:val="21"/>
                <w:szCs w:val="21"/>
              </w:rPr>
            </w:pPr>
            <w:r>
              <w:rPr>
                <w:rFonts w:hint="default" w:ascii="Times New Roman" w:hAnsi="Times New Roman" w:eastAsia="仿宋" w:cs="Times New Roman"/>
                <w:i w:val="0"/>
                <w:caps w:val="0"/>
                <w:color w:val="000000"/>
                <w:spacing w:val="0"/>
                <w:sz w:val="21"/>
                <w:szCs w:val="21"/>
              </w:rPr>
              <w:t>说明：</w:t>
            </w:r>
            <w:r>
              <w:rPr>
                <w:rFonts w:hint="default" w:ascii="Times New Roman" w:hAnsi="Times New Roman" w:eastAsia="仿宋" w:cs="Times New Roman"/>
                <w:i w:val="0"/>
                <w:caps w:val="0"/>
                <w:color w:val="000000"/>
                <w:spacing w:val="0"/>
                <w:sz w:val="21"/>
                <w:szCs w:val="21"/>
                <w:lang w:eastAsia="zh-CN"/>
              </w:rPr>
              <w:t>评分标准</w:t>
            </w:r>
            <w:r>
              <w:rPr>
                <w:rFonts w:hint="default" w:ascii="Times New Roman" w:hAnsi="Times New Roman" w:eastAsia="仿宋" w:cs="Times New Roman"/>
                <w:i w:val="0"/>
                <w:caps w:val="0"/>
                <w:color w:val="000000"/>
                <w:spacing w:val="0"/>
                <w:sz w:val="21"/>
                <w:szCs w:val="21"/>
              </w:rPr>
              <w:t>共6项</w:t>
            </w:r>
            <w:r>
              <w:rPr>
                <w:rFonts w:hint="default" w:ascii="Times New Roman" w:hAnsi="Times New Roman" w:eastAsia="仿宋" w:cs="Times New Roman"/>
                <w:i w:val="0"/>
                <w:caps w:val="0"/>
                <w:color w:val="000000"/>
                <w:spacing w:val="0"/>
                <w:sz w:val="21"/>
                <w:szCs w:val="21"/>
                <w:lang w:val="en-US" w:eastAsia="zh-CN"/>
              </w:rPr>
              <w:t>29</w:t>
            </w:r>
            <w:r>
              <w:rPr>
                <w:rFonts w:hint="default" w:ascii="Times New Roman" w:hAnsi="Times New Roman" w:eastAsia="仿宋" w:cs="Times New Roman"/>
                <w:i w:val="0"/>
                <w:caps w:val="0"/>
                <w:color w:val="000000"/>
                <w:spacing w:val="0"/>
                <w:sz w:val="21"/>
                <w:szCs w:val="21"/>
              </w:rPr>
              <w:t>条，总分值1</w:t>
            </w:r>
            <w:r>
              <w:rPr>
                <w:rFonts w:hint="default" w:ascii="Times New Roman" w:hAnsi="Times New Roman" w:eastAsia="仿宋" w:cs="Times New Roman"/>
                <w:i w:val="0"/>
                <w:caps w:val="0"/>
                <w:color w:val="000000"/>
                <w:spacing w:val="0"/>
                <w:sz w:val="21"/>
                <w:szCs w:val="21"/>
                <w:lang w:val="en-US" w:eastAsia="zh-CN"/>
              </w:rPr>
              <w:t>1</w:t>
            </w:r>
            <w:r>
              <w:rPr>
                <w:rFonts w:hint="default" w:ascii="Times New Roman" w:hAnsi="Times New Roman" w:eastAsia="仿宋" w:cs="Times New Roman"/>
                <w:i w:val="0"/>
                <w:caps w:val="0"/>
                <w:color w:val="000000"/>
                <w:spacing w:val="0"/>
                <w:sz w:val="21"/>
                <w:szCs w:val="21"/>
              </w:rPr>
              <w:t>0分。</w:t>
            </w:r>
            <w:r>
              <w:rPr>
                <w:rFonts w:hint="default" w:ascii="Times New Roman" w:hAnsi="Times New Roman" w:eastAsia="仿宋" w:cs="Times New Roman"/>
                <w:i w:val="0"/>
                <w:caps w:val="0"/>
                <w:color w:val="000000"/>
                <w:spacing w:val="0"/>
                <w:sz w:val="21"/>
                <w:szCs w:val="21"/>
                <w:lang w:val="en-US" w:eastAsia="zh-CN"/>
              </w:rPr>
              <w:t>总得分达到80分以上为区级烈士纪念设施评定的基本条件。</w:t>
            </w:r>
          </w:p>
        </w:tc>
      </w:tr>
    </w:tbl>
    <w:p w14:paraId="0363EB38">
      <w:pPr>
        <w:keepNext w:val="0"/>
        <w:keepLines w:val="0"/>
        <w:widowControl/>
        <w:suppressLineNumbers w:val="0"/>
        <w:jc w:val="left"/>
        <w:rPr>
          <w:rFonts w:hint="default" w:ascii="Times New Roman" w:hAnsi="Times New Roman" w:cs="Times New Roman"/>
        </w:rPr>
      </w:pPr>
    </w:p>
    <w:p w14:paraId="142081A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0454246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5ED5B63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1D76B70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725DBF8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35810A7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eastAsia" w:ascii="方正仿宋_GBK" w:hAnsi="方正仿宋_GBK" w:eastAsia="方正仿宋_GBK" w:cs="方正仿宋_GBK"/>
          <w:color w:val="424242"/>
          <w:sz w:val="32"/>
          <w:szCs w:val="32"/>
          <w:lang w:val="en-US" w:eastAsia="zh-CN"/>
        </w:rPr>
      </w:pPr>
    </w:p>
    <w:p w14:paraId="699DBEF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eastAsia" w:ascii="方正仿宋_GBK" w:hAnsi="方正仿宋_GBK" w:eastAsia="方正仿宋_GBK" w:cs="方正仿宋_GBK"/>
          <w:color w:val="424242"/>
          <w:sz w:val="32"/>
          <w:szCs w:val="32"/>
          <w:lang w:val="en-US" w:eastAsia="zh-CN"/>
        </w:rPr>
      </w:pPr>
    </w:p>
    <w:p w14:paraId="796778B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eastAsia" w:ascii="方正仿宋_GBK" w:hAnsi="方正仿宋_GBK" w:eastAsia="方正仿宋_GBK" w:cs="方正仿宋_GBK"/>
          <w:color w:val="424242"/>
          <w:sz w:val="32"/>
          <w:szCs w:val="32"/>
          <w:lang w:val="en-US" w:eastAsia="zh-CN"/>
        </w:rPr>
      </w:pPr>
    </w:p>
    <w:p w14:paraId="7E74C1F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2730F35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31F40AE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7E35DED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17ED8BC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7F0E69B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289D382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color w:val="424242"/>
          <w:sz w:val="32"/>
          <w:szCs w:val="32"/>
          <w:lang w:val="en-US" w:eastAsia="zh-CN"/>
        </w:rPr>
      </w:pPr>
    </w:p>
    <w:p w14:paraId="32C37F4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黑体_GBK" w:cs="Times New Roman"/>
          <w:i w:val="0"/>
          <w:iCs w:val="0"/>
          <w:caps w:val="0"/>
          <w:color w:val="333333"/>
          <w:spacing w:val="0"/>
          <w:sz w:val="32"/>
          <w:szCs w:val="32"/>
          <w:shd w:val="clear" w:color="auto" w:fill="FFFFFF"/>
          <w:lang w:val="en-US" w:eastAsia="zh-CN"/>
        </w:rPr>
      </w:pPr>
      <w:bookmarkStart w:id="0" w:name="_GoBack"/>
      <w:bookmarkEnd w:id="0"/>
      <w:r>
        <w:rPr>
          <w:rFonts w:hint="default" w:ascii="Times New Roman" w:hAnsi="Times New Roman" w:eastAsia="方正黑体_GBK" w:cs="Times New Roman"/>
          <w:color w:val="424242"/>
          <w:sz w:val="32"/>
          <w:szCs w:val="32"/>
          <w:lang w:val="en-US" w:eastAsia="zh-CN"/>
        </w:rPr>
        <w:t>附件3</w:t>
      </w:r>
    </w:p>
    <w:p w14:paraId="587F4FC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jc w:val="center"/>
        <w:textAlignment w:val="auto"/>
        <w:rPr>
          <w:rStyle w:val="27"/>
          <w:rFonts w:hint="default" w:ascii="Times New Roman" w:hAnsi="Times New Roman" w:cs="Times New Roman"/>
          <w:kern w:val="2"/>
          <w:sz w:val="44"/>
          <w:szCs w:val="44"/>
          <w:lang w:val="en-US" w:eastAsia="zh-CN" w:bidi="ar"/>
        </w:rPr>
      </w:pPr>
    </w:p>
    <w:p w14:paraId="67FCC41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jc w:val="center"/>
        <w:textAlignment w:val="auto"/>
        <w:rPr>
          <w:rStyle w:val="27"/>
          <w:rFonts w:hint="default" w:ascii="Times New Roman" w:hAnsi="Times New Roman" w:eastAsia="方正小标宋_GBK" w:cs="Times New Roman"/>
          <w:kern w:val="2"/>
          <w:sz w:val="44"/>
          <w:szCs w:val="44"/>
          <w:lang w:val="en-US" w:eastAsia="zh-CN" w:bidi="ar"/>
        </w:rPr>
      </w:pPr>
      <w:r>
        <w:rPr>
          <w:rStyle w:val="27"/>
          <w:rFonts w:hint="default" w:ascii="Times New Roman" w:hAnsi="Times New Roman" w:eastAsia="方正小标宋_GBK" w:cs="Times New Roman"/>
          <w:kern w:val="2"/>
          <w:sz w:val="44"/>
          <w:szCs w:val="44"/>
          <w:lang w:val="en-US" w:eastAsia="zh-CN" w:bidi="ar"/>
        </w:rPr>
        <w:t>申报区级烈士纪念设施考评意见表</w:t>
      </w:r>
    </w:p>
    <w:tbl>
      <w:tblPr>
        <w:tblStyle w:val="17"/>
        <w:tblpPr w:leftFromText="180" w:rightFromText="180" w:vertAnchor="text" w:horzAnchor="page" w:tblpXSpec="center" w:tblpY="383"/>
        <w:tblOverlap w:val="never"/>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4"/>
      </w:tblGrid>
      <w:tr w14:paraId="526EC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7" w:hRule="atLeast"/>
          <w:jc w:val="center"/>
        </w:trPr>
        <w:tc>
          <w:tcPr>
            <w:tcW w:w="9504" w:type="dxa"/>
            <w:noWrap w:val="0"/>
            <w:vAlign w:val="top"/>
          </w:tcPr>
          <w:p w14:paraId="169A24F1">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94" w:lineRule="exact"/>
              <w:ind w:left="0"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default" w:ascii="Times New Roman" w:hAnsi="Times New Roman" w:eastAsia="方正仿宋_GBK" w:cs="Times New Roman"/>
                <w:i w:val="0"/>
                <w:iCs w:val="0"/>
                <w:caps w:val="0"/>
                <w:color w:val="333333"/>
                <w:spacing w:val="0"/>
                <w:sz w:val="32"/>
                <w:szCs w:val="32"/>
                <w:shd w:val="clear" w:color="auto" w:fill="FFFFFF"/>
                <w:lang w:eastAsia="zh-CN"/>
              </w:rPr>
              <w:t>一、经</w:t>
            </w:r>
            <w:r>
              <w:rPr>
                <w:rFonts w:hint="default" w:ascii="Times New Roman" w:hAnsi="Times New Roman" w:eastAsia="方正仿宋_GBK" w:cs="Times New Roman"/>
                <w:i w:val="0"/>
                <w:iCs w:val="0"/>
                <w:caps w:val="0"/>
                <w:color w:val="333333"/>
                <w:spacing w:val="0"/>
                <w:sz w:val="32"/>
                <w:szCs w:val="32"/>
                <w:shd w:val="clear" w:color="auto" w:fill="FFFFFF"/>
              </w:rPr>
              <w:t>实地勘查</w:t>
            </w:r>
            <w:r>
              <w:rPr>
                <w:rFonts w:hint="default" w:ascii="Times New Roman" w:hAnsi="Times New Roman" w:eastAsia="方正仿宋_GBK" w:cs="Times New Roman"/>
                <w:i w:val="0"/>
                <w:iCs w:val="0"/>
                <w:caps w:val="0"/>
                <w:color w:val="333333"/>
                <w:spacing w:val="0"/>
                <w:sz w:val="32"/>
                <w:szCs w:val="32"/>
                <w:shd w:val="clear" w:color="auto" w:fill="FFFFFF"/>
                <w:lang w:eastAsia="zh-CN"/>
              </w:rPr>
              <w:t>，符合区级烈士纪念设施申报条件；</w:t>
            </w:r>
          </w:p>
          <w:p w14:paraId="3E0D2F90">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94" w:lineRule="exact"/>
              <w:ind w:left="0"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二、申报区级烈士纪念设施考评得分</w:t>
            </w:r>
            <w:r>
              <w:rPr>
                <w:rFonts w:hint="default" w:ascii="Times New Roman" w:hAnsi="Times New Roman" w:eastAsia="方正仿宋_GBK" w:cs="Times New Roman"/>
                <w:i w:val="0"/>
                <w:iCs w:val="0"/>
                <w:caps w:val="0"/>
                <w:color w:val="333333"/>
                <w:spacing w:val="0"/>
                <w:sz w:val="32"/>
                <w:szCs w:val="32"/>
                <w:u w:val="single"/>
                <w:shd w:val="clear" w:color="auto" w:fill="FFFFFF"/>
                <w:lang w:val="en-US" w:eastAsia="zh-CN"/>
              </w:rPr>
              <w:t xml:space="preserve">       </w:t>
            </w: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分。</w:t>
            </w:r>
          </w:p>
          <w:p w14:paraId="6ED60AE4">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94" w:lineRule="exact"/>
              <w:ind w:left="0"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考评意见：拟同意确认</w:t>
            </w:r>
            <w:r>
              <w:rPr>
                <w:rFonts w:hint="default" w:ascii="Times New Roman" w:hAnsi="Times New Roman" w:eastAsia="方正仿宋_GBK" w:cs="Times New Roman"/>
                <w:i w:val="0"/>
                <w:iCs w:val="0"/>
                <w:caps w:val="0"/>
                <w:color w:val="333333"/>
                <w:spacing w:val="0"/>
                <w:sz w:val="32"/>
                <w:szCs w:val="32"/>
                <w:u w:val="single"/>
                <w:shd w:val="clear" w:color="auto" w:fill="FFFFFF"/>
                <w:lang w:val="en-US" w:eastAsia="zh-CN"/>
              </w:rPr>
              <w:t xml:space="preserve">                </w:t>
            </w: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烈士纪念设施为区级烈士纪念设施。</w:t>
            </w:r>
          </w:p>
          <w:p w14:paraId="043EF4D3">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p>
          <w:p w14:paraId="125D7284">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考评组负责人：           考评工作人员</w:t>
            </w:r>
          </w:p>
          <w:p w14:paraId="1C33FD10">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 xml:space="preserve">           区委宣传部：                       </w:t>
            </w:r>
          </w:p>
          <w:p w14:paraId="6176D0AA">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 xml:space="preserve">         区检察院：</w:t>
            </w:r>
          </w:p>
          <w:p w14:paraId="07C770F7">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 xml:space="preserve">             区文化旅游委：</w:t>
            </w:r>
          </w:p>
          <w:p w14:paraId="54EB81C5">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 xml:space="preserve">             区史志研究室：</w:t>
            </w:r>
          </w:p>
          <w:p w14:paraId="2BFEEE3D">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 xml:space="preserve">                 区退役军人事务局：</w:t>
            </w:r>
          </w:p>
          <w:p w14:paraId="713DF71C">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4800" w:firstLineChars="1500"/>
              <w:textAlignment w:val="auto"/>
              <w:rPr>
                <w:rFonts w:hint="default" w:ascii="Times New Roman" w:hAnsi="Times New Roman" w:eastAsia="方正仿宋_GBK" w:cs="Times New Roman"/>
                <w:i w:val="0"/>
                <w:iCs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考评日期：</w:t>
            </w:r>
          </w:p>
        </w:tc>
      </w:tr>
    </w:tbl>
    <w:p w14:paraId="7FB696F3">
      <w:pPr>
        <w:pStyle w:val="2"/>
        <w:keepNext w:val="0"/>
        <w:keepLines w:val="0"/>
        <w:pageBreakBefore w:val="0"/>
        <w:widowControl w:val="0"/>
        <w:kinsoku/>
        <w:wordWrap/>
        <w:overflowPunct/>
        <w:topLinePunct w:val="0"/>
        <w:autoSpaceDE/>
        <w:autoSpaceDN/>
        <w:bidi w:val="0"/>
        <w:adjustRightInd/>
        <w:snapToGrid/>
        <w:spacing w:line="595" w:lineRule="exact"/>
        <w:ind w:firstLine="0" w:firstLineChars="0"/>
        <w:jc w:val="center"/>
        <w:textAlignment w:val="auto"/>
        <w:rPr>
          <w:rFonts w:hint="eastAsia" w:ascii="方正仿宋_GBK" w:hAnsi="方正仿宋_GBK" w:eastAsia="方正仿宋_GBK" w:cs="方正仿宋_GBK"/>
          <w:sz w:val="32"/>
          <w:szCs w:val="32"/>
          <w:lang w:val="en-US" w:eastAsia="zh-CN"/>
        </w:rPr>
      </w:pPr>
    </w:p>
    <w:p w14:paraId="5EE9078A">
      <w:pPr>
        <w:pStyle w:val="3"/>
        <w:keepNext w:val="0"/>
        <w:keepLines w:val="0"/>
        <w:pageBreakBefore w:val="0"/>
        <w:widowControl w:val="0"/>
        <w:kinsoku/>
        <w:wordWrap/>
        <w:overflowPunct/>
        <w:topLinePunct w:val="0"/>
        <w:autoSpaceDE/>
        <w:autoSpaceDN/>
        <w:bidi w:val="0"/>
        <w:adjustRightInd/>
        <w:snapToGrid/>
        <w:spacing w:line="595" w:lineRule="exact"/>
        <w:ind w:firstLine="0" w:firstLineChars="0"/>
        <w:jc w:val="both"/>
        <w:textAlignment w:val="auto"/>
        <w:rPr>
          <w:rFonts w:hint="eastAsia" w:ascii="方正仿宋_GBK" w:hAnsi="方正仿宋_GBK" w:eastAsia="方正仿宋_GBK" w:cs="方正仿宋_GBK"/>
          <w:sz w:val="32"/>
          <w:szCs w:val="32"/>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465AC342-ED7F-491B-AEEA-28FD973B9925}"/>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B227DD81-30AE-4279-8EF4-022614968259}"/>
  </w:font>
  <w:font w:name="方正小标宋简体">
    <w:altName w:val="黑体"/>
    <w:panose1 w:val="02000000000000000000"/>
    <w:charset w:val="86"/>
    <w:family w:val="auto"/>
    <w:pitch w:val="default"/>
    <w:sig w:usb0="00000000" w:usb1="00000000" w:usb2="00000012" w:usb3="00000000" w:csb0="00040001" w:csb1="00000000"/>
    <w:embedRegular r:id="rId3" w:fontKey="{9E3712F9-2E12-4F9C-B07C-184CC0094F9D}"/>
  </w:font>
  <w:font w:name="方正黑体_GBK">
    <w:panose1 w:val="03000509000000000000"/>
    <w:charset w:val="86"/>
    <w:family w:val="script"/>
    <w:pitch w:val="default"/>
    <w:sig w:usb0="00000001" w:usb1="080E0000" w:usb2="00000000" w:usb3="00000000" w:csb0="00040000" w:csb1="00000000"/>
    <w:embedRegular r:id="rId4" w:fontKey="{FAE3FEBB-6BDD-4D8F-88A7-224674FD01FC}"/>
  </w:font>
  <w:font w:name="仿宋">
    <w:panose1 w:val="02010609060101010101"/>
    <w:charset w:val="86"/>
    <w:family w:val="auto"/>
    <w:pitch w:val="default"/>
    <w:sig w:usb0="800002BF" w:usb1="38CF7CFA" w:usb2="00000016" w:usb3="00000000" w:csb0="00040001" w:csb1="00000000"/>
    <w:embedRegular r:id="rId5" w:fontKey="{75667CAE-3A45-4196-B2F8-42BD9E0DAA86}"/>
  </w:font>
  <w:font w:name="微软雅黑">
    <w:panose1 w:val="020B0503020204020204"/>
    <w:charset w:val="86"/>
    <w:family w:val="auto"/>
    <w:pitch w:val="default"/>
    <w:sig w:usb0="80000287" w:usb1="280F3C52" w:usb2="00000016" w:usb3="00000000" w:csb0="0004001F" w:csb1="00000000"/>
    <w:embedRegular r:id="rId6" w:fontKey="{C7EEE696-3223-446D-BD6F-B6BFBF603A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A59E3">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733B1">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7B0733B1">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516D220B">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516D220B">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6D41494A">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14:paraId="668FC0F7">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ED8C3">
    <w:pPr>
      <w:pStyle w:val="12"/>
      <w:wordWrap w:val="0"/>
      <w:jc w:val="both"/>
      <w:rPr>
        <w:rFonts w:hint="eastAsia" w:ascii="宋体" w:hAnsi="宋体" w:eastAsia="宋体" w:cs="宋体"/>
        <w:b/>
        <w:bCs/>
        <w:color w:val="005192"/>
        <w:sz w:val="28"/>
        <w:szCs w:val="44"/>
        <w:lang w:val="en-US" w:eastAsia="zh-Hans"/>
      </w:rPr>
    </w:pPr>
  </w:p>
  <w:p w14:paraId="4E109322">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14:paraId="1B224AC5">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25FD76EA">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25FD76EA">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C603E">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22B5D065">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15F14818">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070B48EC">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680C1">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7A8FBD2E">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082835B8">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551DC339">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57EDBEAE"/>
    <w:multiLevelType w:val="singleLevel"/>
    <w:tmpl w:val="57EDBEAE"/>
    <w:lvl w:ilvl="0" w:tentative="0">
      <w:start w:val="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4F0AEC"/>
    <w:rsid w:val="039B4201"/>
    <w:rsid w:val="055D53FF"/>
    <w:rsid w:val="06041631"/>
    <w:rsid w:val="07267138"/>
    <w:rsid w:val="0954015F"/>
    <w:rsid w:val="099B1508"/>
    <w:rsid w:val="09F52559"/>
    <w:rsid w:val="0E7449D6"/>
    <w:rsid w:val="0F3E50C5"/>
    <w:rsid w:val="12305F09"/>
    <w:rsid w:val="126A7156"/>
    <w:rsid w:val="127F48AC"/>
    <w:rsid w:val="135C49D3"/>
    <w:rsid w:val="13B85FB7"/>
    <w:rsid w:val="156C2EC6"/>
    <w:rsid w:val="162938B5"/>
    <w:rsid w:val="16C974A2"/>
    <w:rsid w:val="170E0A5C"/>
    <w:rsid w:val="1792392B"/>
    <w:rsid w:val="17C76AD9"/>
    <w:rsid w:val="1833131B"/>
    <w:rsid w:val="195B1BCF"/>
    <w:rsid w:val="1ABC6199"/>
    <w:rsid w:val="1CE265F1"/>
    <w:rsid w:val="1D774AFE"/>
    <w:rsid w:val="1DBB0E8E"/>
    <w:rsid w:val="1DDA2772"/>
    <w:rsid w:val="1DE024A4"/>
    <w:rsid w:val="1EB678A8"/>
    <w:rsid w:val="1F8350EC"/>
    <w:rsid w:val="203F6942"/>
    <w:rsid w:val="22EE11B0"/>
    <w:rsid w:val="24F8608A"/>
    <w:rsid w:val="27DB0228"/>
    <w:rsid w:val="2A2955B0"/>
    <w:rsid w:val="2AC0755D"/>
    <w:rsid w:val="2CBC252D"/>
    <w:rsid w:val="2F4F1437"/>
    <w:rsid w:val="2F8D01B1"/>
    <w:rsid w:val="2FAF27B9"/>
    <w:rsid w:val="2FB8161D"/>
    <w:rsid w:val="31EC5658"/>
    <w:rsid w:val="32204B21"/>
    <w:rsid w:val="32A22BF5"/>
    <w:rsid w:val="355F3D52"/>
    <w:rsid w:val="364C66D0"/>
    <w:rsid w:val="369E2CA4"/>
    <w:rsid w:val="36B1489A"/>
    <w:rsid w:val="36C62330"/>
    <w:rsid w:val="37BF2ED1"/>
    <w:rsid w:val="387168C2"/>
    <w:rsid w:val="38E452E6"/>
    <w:rsid w:val="38ED4838"/>
    <w:rsid w:val="39613D8F"/>
    <w:rsid w:val="3A573DDF"/>
    <w:rsid w:val="3AAE6117"/>
    <w:rsid w:val="3BC92571"/>
    <w:rsid w:val="3C9012E0"/>
    <w:rsid w:val="3CEE4FB5"/>
    <w:rsid w:val="3E3C1720"/>
    <w:rsid w:val="4028294B"/>
    <w:rsid w:val="40944855"/>
    <w:rsid w:val="41170888"/>
    <w:rsid w:val="413170E8"/>
    <w:rsid w:val="43142BB6"/>
    <w:rsid w:val="43B918E6"/>
    <w:rsid w:val="43CD4BC8"/>
    <w:rsid w:val="43F860E9"/>
    <w:rsid w:val="44031E43"/>
    <w:rsid w:val="446C62D1"/>
    <w:rsid w:val="447F2366"/>
    <w:rsid w:val="45174411"/>
    <w:rsid w:val="45EE1552"/>
    <w:rsid w:val="46821C9A"/>
    <w:rsid w:val="46E43D74"/>
    <w:rsid w:val="491E3069"/>
    <w:rsid w:val="49A37317"/>
    <w:rsid w:val="4B7122DD"/>
    <w:rsid w:val="4DC808DA"/>
    <w:rsid w:val="4DF25539"/>
    <w:rsid w:val="4F255BD2"/>
    <w:rsid w:val="4FE63299"/>
    <w:rsid w:val="4FF92C9C"/>
    <w:rsid w:val="50591CBD"/>
    <w:rsid w:val="50F9524E"/>
    <w:rsid w:val="517961A1"/>
    <w:rsid w:val="519E44B6"/>
    <w:rsid w:val="51F837D1"/>
    <w:rsid w:val="52184E4A"/>
    <w:rsid w:val="527E7B63"/>
    <w:rsid w:val="543B00DA"/>
    <w:rsid w:val="5479474B"/>
    <w:rsid w:val="554D2520"/>
    <w:rsid w:val="56912169"/>
    <w:rsid w:val="5B184523"/>
    <w:rsid w:val="5B2F3EB3"/>
    <w:rsid w:val="5C11008F"/>
    <w:rsid w:val="5FEC1CFE"/>
    <w:rsid w:val="612956DC"/>
    <w:rsid w:val="61773FF6"/>
    <w:rsid w:val="63B7489A"/>
    <w:rsid w:val="67AC7B5D"/>
    <w:rsid w:val="6A7105D2"/>
    <w:rsid w:val="6AD76284"/>
    <w:rsid w:val="6BCE3398"/>
    <w:rsid w:val="6C757CDC"/>
    <w:rsid w:val="6DF76589"/>
    <w:rsid w:val="6E3851B0"/>
    <w:rsid w:val="6FA93114"/>
    <w:rsid w:val="70730722"/>
    <w:rsid w:val="710D5340"/>
    <w:rsid w:val="71275556"/>
    <w:rsid w:val="71C54FAD"/>
    <w:rsid w:val="721379BE"/>
    <w:rsid w:val="730E31CE"/>
    <w:rsid w:val="74791404"/>
    <w:rsid w:val="777D2475"/>
    <w:rsid w:val="7AC074DE"/>
    <w:rsid w:val="7AFE508C"/>
    <w:rsid w:val="7B0452DC"/>
    <w:rsid w:val="7B332B6F"/>
    <w:rsid w:val="7E794E62"/>
    <w:rsid w:val="7F4F7D2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autoRedefine/>
    <w:qFormat/>
    <w:uiPriority w:val="0"/>
    <w:pPr>
      <w:numPr>
        <w:ilvl w:val="2"/>
        <w:numId w:val="1"/>
      </w:numPr>
      <w:ind w:left="0" w:firstLine="200" w:firstLineChars="200"/>
      <w:outlineLvl w:val="2"/>
    </w:pPr>
  </w:style>
  <w:style w:type="paragraph" w:styleId="7">
    <w:name w:val="heading 4"/>
    <w:basedOn w:val="5"/>
    <w:next w:val="1"/>
    <w:autoRedefine/>
    <w:qFormat/>
    <w:uiPriority w:val="0"/>
    <w:pPr>
      <w:spacing w:before="280" w:after="290" w:line="376" w:lineRule="auto"/>
      <w:outlineLvl w:val="3"/>
    </w:pPr>
    <w:rPr>
      <w:rFonts w:ascii="Arial" w:hAnsi="Arial" w:eastAsia="黑体"/>
      <w:sz w:val="28"/>
      <w:szCs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3"/>
    <w:qFormat/>
    <w:uiPriority w:val="0"/>
    <w:pPr>
      <w:ind w:firstLine="720"/>
    </w:pPr>
  </w:style>
  <w:style w:type="paragraph" w:styleId="3">
    <w:name w:val="Body Text"/>
    <w:basedOn w:val="1"/>
    <w:next w:val="1"/>
    <w:autoRedefine/>
    <w:qFormat/>
    <w:uiPriority w:val="0"/>
    <w:pPr>
      <w:spacing w:line="276" w:lineRule="auto"/>
    </w:pPr>
    <w:rPr>
      <w:rFonts w:ascii="Times New Roman" w:hAnsi="Times New Roman"/>
    </w:rPr>
  </w:style>
  <w:style w:type="paragraph" w:styleId="8">
    <w:name w:val="Normal Indent"/>
    <w:basedOn w:val="1"/>
    <w:next w:val="1"/>
    <w:autoRedefine/>
    <w:unhideWhenUsed/>
    <w:qFormat/>
    <w:uiPriority w:val="99"/>
    <w:pPr>
      <w:ind w:firstLine="420" w:firstLineChars="200"/>
    </w:pPr>
  </w:style>
  <w:style w:type="paragraph" w:styleId="9">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10">
    <w:name w:val="Plain Text"/>
    <w:basedOn w:val="1"/>
    <w:autoRedefine/>
    <w:qFormat/>
    <w:uiPriority w:val="0"/>
    <w:pPr>
      <w:spacing w:line="594" w:lineRule="exact"/>
    </w:pPr>
    <w:rPr>
      <w:rFonts w:ascii="宋体" w:hAnsi="Courier New" w:eastAsia="宋体" w:cs="Courier New"/>
      <w:sz w:val="21"/>
      <w:szCs w:val="21"/>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autoRedefine/>
    <w:qFormat/>
    <w:uiPriority w:val="0"/>
    <w:pPr>
      <w:spacing w:after="120"/>
      <w:ind w:left="200" w:leftChars="200" w:firstLine="200" w:firstLineChars="200"/>
    </w:pPr>
    <w:rPr>
      <w:rFonts w:ascii="Calibri" w:hAnsi="Calibri"/>
      <w:sz w:val="21"/>
      <w:szCs w:val="24"/>
    </w:rPr>
  </w:style>
  <w:style w:type="table" w:styleId="17">
    <w:name w:val="Table Grid"/>
    <w:basedOn w:val="16"/>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page number"/>
    <w:basedOn w:val="18"/>
    <w:autoRedefine/>
    <w:qFormat/>
    <w:uiPriority w:val="0"/>
    <w:rPr>
      <w:rFonts w:cs="Times New Roman"/>
    </w:rPr>
  </w:style>
  <w:style w:type="paragraph" w:customStyle="1" w:styleId="21">
    <w:name w:val="默认"/>
    <w:autoRedefine/>
    <w:qFormat/>
    <w:uiPriority w:val="0"/>
    <w:rPr>
      <w:rFonts w:ascii="Helvetica" w:hAnsi="Helvetica" w:eastAsia="Helvetica" w:cs="Helvetica"/>
      <w:color w:val="000000"/>
      <w:sz w:val="22"/>
      <w:szCs w:val="22"/>
      <w:lang w:val="en-US" w:eastAsia="zh-CN" w:bidi="ar-SA"/>
    </w:rPr>
  </w:style>
  <w:style w:type="paragraph" w:customStyle="1" w:styleId="22">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索引 51"/>
    <w:basedOn w:val="1"/>
    <w:next w:val="1"/>
    <w:autoRedefine/>
    <w:qFormat/>
    <w:uiPriority w:val="99"/>
    <w:pPr>
      <w:ind w:left="1680"/>
    </w:pPr>
  </w:style>
  <w:style w:type="paragraph" w:customStyle="1" w:styleId="24">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5">
    <w:name w:val="p0"/>
    <w:basedOn w:val="1"/>
    <w:autoRedefine/>
    <w:qFormat/>
    <w:uiPriority w:val="0"/>
    <w:pPr>
      <w:widowControl/>
    </w:pPr>
    <w:rPr>
      <w:kern w:val="0"/>
    </w:rPr>
  </w:style>
  <w:style w:type="paragraph" w:customStyle="1" w:styleId="26">
    <w:name w:val="样式1"/>
    <w:basedOn w:val="4"/>
    <w:autoRedefine/>
    <w:qFormat/>
    <w:uiPriority w:val="0"/>
    <w:pPr>
      <w:numPr>
        <w:ilvl w:val="0"/>
        <w:numId w:val="0"/>
      </w:numPr>
      <w:spacing w:before="0" w:after="0"/>
      <w:jc w:val="center"/>
      <w:outlineLvl w:val="9"/>
    </w:pPr>
    <w:rPr>
      <w:rFonts w:eastAsia="方正小标宋_GBK"/>
      <w:sz w:val="44"/>
    </w:rPr>
  </w:style>
  <w:style w:type="character" w:customStyle="1" w:styleId="27">
    <w:name w:val="font121"/>
    <w:basedOn w:val="18"/>
    <w:qFormat/>
    <w:uiPriority w:val="0"/>
    <w:rPr>
      <w:rFonts w:ascii="方正小标宋简体" w:hAnsi="方正小标宋简体" w:eastAsia="方正小标宋简体" w:cs="方正小标宋简体"/>
      <w:color w:val="000000"/>
      <w:sz w:val="36"/>
      <w:szCs w:val="3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5168</Words>
  <Characters>5279</Characters>
  <Lines>4</Lines>
  <Paragraphs>10</Paragraphs>
  <TotalTime>7</TotalTime>
  <ScaleCrop>false</ScaleCrop>
  <LinksUpToDate>false</LinksUpToDate>
  <CharactersWithSpaces>5422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cp:lastPrinted>2024-11-27T03:43:00Z</cp:lastPrinted>
  <dcterms:modified xsi:type="dcterms:W3CDTF">2024-11-27T06:49:38Z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10156C0163C84E5086A7C9ADBFCB4739_13</vt:lpwstr>
  </property>
</Properties>
</file>